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附件1</w:t>
      </w:r>
    </w:p>
    <w:p>
      <w:pPr>
        <w:jc w:val="center"/>
        <w:rPr>
          <w:rFonts w:hint="eastAsia" w:ascii="仿宋" w:hAnsi="仿宋" w:eastAsia="仿宋" w:cs="微软雅黑"/>
          <w:b/>
          <w:sz w:val="32"/>
          <w:szCs w:val="32"/>
          <w:lang w:eastAsia="zh-CN"/>
        </w:rPr>
      </w:pPr>
      <w:r>
        <w:rPr>
          <w:rFonts w:ascii="仿宋" w:hAnsi="仿宋" w:eastAsia="仿宋"/>
          <w:b/>
          <w:sz w:val="32"/>
          <w:szCs w:val="32"/>
        </w:rPr>
        <w:t>“步道乐跑”app</w:t>
      </w:r>
      <w:r>
        <w:rPr>
          <w:rFonts w:hint="eastAsia" w:ascii="仿宋" w:hAnsi="仿宋" w:eastAsia="仿宋"/>
          <w:b/>
          <w:sz w:val="32"/>
          <w:szCs w:val="32"/>
        </w:rPr>
        <w:t>软件使用说明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及打卡点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1.软件</w:t>
      </w:r>
      <w:r>
        <w:rPr>
          <w:rFonts w:ascii="仿宋" w:hAnsi="仿宋" w:eastAsia="仿宋"/>
          <w:sz w:val="32"/>
          <w:szCs w:val="32"/>
        </w:rPr>
        <w:t>使用说明</w:t>
      </w:r>
      <w:bookmarkStart w:id="0" w:name="_GoBack"/>
      <w:bookmarkEnd w:id="0"/>
    </w:p>
    <w:p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（1）app</w:t>
      </w:r>
      <w:r>
        <w:rPr>
          <w:rFonts w:ascii="仿宋" w:hAnsi="仿宋" w:eastAsia="仿宋" w:cs="微软雅黑"/>
          <w:bCs/>
          <w:sz w:val="32"/>
          <w:szCs w:val="32"/>
        </w:rPr>
        <w:t>下载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 w:cs="微软雅黑"/>
          <w:sz w:val="32"/>
          <w:szCs w:val="32"/>
        </w:rPr>
        <w:drawing>
          <wp:inline distT="0" distB="0" distL="0" distR="0">
            <wp:extent cx="4486275" cy="2746375"/>
            <wp:effectExtent l="0" t="0" r="9525" b="1587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（2）注册</w:t>
      </w:r>
      <w:r>
        <w:rPr>
          <w:rFonts w:ascii="仿宋" w:hAnsi="仿宋" w:eastAsia="仿宋"/>
          <w:sz w:val="32"/>
          <w:szCs w:val="32"/>
        </w:rPr>
        <w:t>登录</w:t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5467350" cy="3257550"/>
            <wp:effectExtent l="0" t="0" r="0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（3）身份</w:t>
      </w:r>
      <w:r>
        <w:rPr>
          <w:rFonts w:ascii="仿宋" w:hAnsi="仿宋" w:eastAsia="仿宋"/>
          <w:sz w:val="32"/>
          <w:szCs w:val="32"/>
        </w:rPr>
        <w:t>认证</w:t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534025" cy="3886200"/>
            <wp:effectExtent l="0" t="0" r="9525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457825" cy="36385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</w:t>
      </w:r>
      <w:r>
        <w:rPr>
          <w:rFonts w:ascii="仿宋" w:hAnsi="仿宋" w:eastAsia="仿宋"/>
          <w:sz w:val="32"/>
          <w:szCs w:val="32"/>
        </w:rPr>
        <w:t>校园乐跑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534025" cy="3829050"/>
            <wp:effectExtent l="0" t="0" r="9525" b="0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（5）跑步</w:t>
      </w:r>
      <w:r>
        <w:rPr>
          <w:rFonts w:ascii="仿宋" w:hAnsi="仿宋" w:eastAsia="仿宋"/>
          <w:sz w:val="32"/>
          <w:szCs w:val="32"/>
        </w:rPr>
        <w:t>规则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876925" cy="3619500"/>
            <wp:effectExtent l="0" t="0" r="9525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（6）跑步</w:t>
      </w:r>
      <w:r>
        <w:rPr>
          <w:rFonts w:ascii="仿宋" w:hAnsi="仿宋" w:eastAsia="仿宋"/>
          <w:sz w:val="32"/>
          <w:szCs w:val="32"/>
        </w:rPr>
        <w:t>流程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876925" cy="3524250"/>
            <wp:effectExtent l="0" t="0" r="9525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hint="eastAsia" w:ascii="仿宋" w:hAnsi="仿宋" w:eastAsia="仿宋_GB2312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桂林理工大学博文管理学院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打卡点</w:t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819400" cy="5029200"/>
            <wp:effectExtent l="0" t="0" r="0" b="0"/>
            <wp:docPr id="9" name="图片 9" descr="Cache_-bc45e3d0e802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che_-bc45e3d0e80246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34CBC"/>
    <w:rsid w:val="1B734C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2019-04-26T09:48:00Z</dcterms:created>
  <dc:creator>750860143</dc:creator>
  <cp:lastModifiedBy>750860143</cp:lastModifiedBy>
  <dcterms:modified xsi:type="dcterms:W3CDTF">2019-04-26T09:50:52Z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