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tbl>
      <w:tblPr>
        <w:tblStyle w:val="6"/>
        <w:tblW w:w="94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466"/>
        <w:gridCol w:w="2280"/>
        <w:gridCol w:w="48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41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_GBK" w:eastAsia="方正小标宋简体" w:cs="方正小标宋_GBK"/>
                <w:color w:val="000000"/>
                <w:kern w:val="0"/>
                <w:sz w:val="44"/>
                <w:szCs w:val="44"/>
                <w:lang w:bidi="ar"/>
              </w:rPr>
              <w:t>工程系列自然资源行业职称评审专业目录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系列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行业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明细专业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工程</w:t>
            </w: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自然资源行业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地质资源与地质工程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地质科普、地质调查、矿产勘查、勘查技术与工程、水文地质工程地质环境地质、水资源勘查、地质灾害、遥感地质、地球物理、地球化学、地质实验测试、海洋地质、地质钻探、地质坑探。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矿业工程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采矿工程、掘进工程、选矿工程、矿物加工工程、矿物资源工程、安全技术及工程。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岩土工程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岩土调查、勘查（察）、科研、设计、咨询、治理、施工、监理、检测、监测。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土地工程与技术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土地调查、土地储备、土地利用、土地评价、土地整治与生态修复治理、城乡规划管理、空间管制、耕地保护、地籍管理、不动产登记。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国土空间规划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国土空间规划体系中的总体规划、详细规划、专项规划、矿产规划等、同时包含原城乡规划体系中的城镇体系规划与城市总体规划、城市详细规划、专项规划。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测绘与地理信息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大地测量、摄影测量与遥感、测绘航空摄影、工程测绘、不动产测绘、海洋测绘、界线与权籍测绘、地理信息系统工程、地图编制、导航电子地图制作、互联网地图服务、测绘仪器科学与技术、应急测绘、自然资源大数据工程、自然资源调查监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海洋工程与技术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海洋观测预报、海洋防灾减灾、海洋生态预警监测、海洋经济、海洋空间管理与利用、海洋技术、海洋工程、海洋生态环境、海洋资源利用与保护。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</w:pPr>
    </w:p>
    <w:sectPr>
      <w:pgSz w:w="11906" w:h="16838"/>
      <w:pgMar w:top="1417" w:right="1587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DE0Yjc1NWJkY2I0MWI4ZDViZDZiYjI2YWMxZGEifQ=="/>
  </w:docVars>
  <w:rsids>
    <w:rsidRoot w:val="0041459D"/>
    <w:rsid w:val="00030B1F"/>
    <w:rsid w:val="0041459D"/>
    <w:rsid w:val="00863527"/>
    <w:rsid w:val="00D9608D"/>
    <w:rsid w:val="06911401"/>
    <w:rsid w:val="0A8660B8"/>
    <w:rsid w:val="1AFF2A2E"/>
    <w:rsid w:val="1B271EBF"/>
    <w:rsid w:val="2A6428AE"/>
    <w:rsid w:val="3922642A"/>
    <w:rsid w:val="414D5B52"/>
    <w:rsid w:val="524C074C"/>
    <w:rsid w:val="53AE40CE"/>
    <w:rsid w:val="53F32429"/>
    <w:rsid w:val="57C71C02"/>
    <w:rsid w:val="5FF7E3F6"/>
    <w:rsid w:val="74C72825"/>
    <w:rsid w:val="7DCA4A14"/>
    <w:rsid w:val="B1BFB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color w:val="000000"/>
      <w:kern w:val="32"/>
      <w:szCs w:val="21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501</Characters>
  <Lines>4</Lines>
  <Paragraphs>1</Paragraphs>
  <TotalTime>35</TotalTime>
  <ScaleCrop>false</ScaleCrop>
  <LinksUpToDate>false</LinksUpToDate>
  <CharactersWithSpaces>587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2022-07-29T00:11:00Z</dcterms:created>
  <dc:creator>Administrator</dc:creator>
  <cp:lastModifiedBy>gxxc</cp:lastModifiedBy>
  <dcterms:modified xsi:type="dcterms:W3CDTF">2022-07-29T10:07:01Z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EC2BA75DFAAB4896BACA80E1F50AD7D0</vt:lpwstr>
  </property>
</Properties>
</file>