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196" w:lineRule="auto"/>
        <w:ind w:left="2475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>XXX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专业辅修人才培养方案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b/>
          <w:bCs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一 、专业简介  (参考内容 、格式如下 )</w:t>
      </w: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4"/>
          <w:sz w:val="21"/>
          <w:szCs w:val="21"/>
        </w:rPr>
        <w:t>土木</w:t>
      </w:r>
      <w:r>
        <w:rPr>
          <w:rFonts w:hint="eastAsia" w:ascii="宋体" w:hAnsi="宋体" w:eastAsia="宋体" w:cs="宋体"/>
          <w:spacing w:val="8"/>
          <w:sz w:val="21"/>
          <w:szCs w:val="21"/>
        </w:rPr>
        <w:t>工</w:t>
      </w:r>
      <w:r>
        <w:rPr>
          <w:rFonts w:hint="eastAsia" w:ascii="宋体" w:hAnsi="宋体" w:eastAsia="宋体" w:cs="宋体"/>
          <w:spacing w:val="7"/>
          <w:sz w:val="21"/>
          <w:szCs w:val="21"/>
        </w:rPr>
        <w:t>程专业是南宁理工学院的重点专业</w:t>
      </w:r>
      <w:r>
        <w:rPr>
          <w:rFonts w:hint="eastAsia" w:ascii="宋体" w:hAnsi="宋体" w:eastAsia="宋体" w:cs="宋体"/>
          <w:spacing w:val="7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21"/>
          <w:szCs w:val="21"/>
        </w:rPr>
        <w:t>经过学校多年的积累和发展,形成了完善的教育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教学理念和课程体系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土木工程专业隶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属工科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开设工业与民用建筑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交通土建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岩土工程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个</w:t>
      </w:r>
      <w:r>
        <w:rPr>
          <w:rFonts w:hint="eastAsia" w:ascii="宋体" w:hAnsi="宋体" w:eastAsia="宋体" w:cs="宋体"/>
          <w:spacing w:val="3"/>
          <w:sz w:val="21"/>
          <w:szCs w:val="21"/>
        </w:rPr>
        <w:t>专业方向。</w:t>
      </w: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2011年9月</w:t>
      </w:r>
      <w:r>
        <w:rPr>
          <w:rFonts w:hint="eastAsia" w:ascii="宋体" w:hAnsi="宋体" w:eastAsia="宋体" w:cs="宋体"/>
          <w:spacing w:val="3"/>
          <w:sz w:val="21"/>
          <w:szCs w:val="21"/>
        </w:rPr>
        <w:t>获得广西高等学校特色专业及课程一体化建设项目立项</w:t>
      </w:r>
      <w:r>
        <w:rPr>
          <w:rFonts w:hint="eastAsia" w:ascii="宋体" w:hAnsi="宋体" w:eastAsia="宋体" w:cs="宋体"/>
          <w:spacing w:val="3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2013年</w:t>
      </w:r>
      <w:r>
        <w:rPr>
          <w:rFonts w:hint="eastAsia" w:ascii="宋体" w:hAnsi="宋体" w:eastAsia="宋体" w:cs="宋体"/>
          <w:spacing w:val="3"/>
          <w:sz w:val="21"/>
          <w:szCs w:val="21"/>
        </w:rPr>
        <w:t>获</w:t>
      </w:r>
      <w:r>
        <w:rPr>
          <w:rFonts w:hint="eastAsia" w:ascii="宋体" w:hAnsi="宋体" w:eastAsia="宋体" w:cs="宋体"/>
          <w:spacing w:val="3"/>
          <w:sz w:val="21"/>
          <w:szCs w:val="21"/>
          <w:lang w:val="en-US" w:eastAsia="zh-CN"/>
        </w:rPr>
        <w:t>批</w:t>
      </w:r>
      <w:r>
        <w:rPr>
          <w:rFonts w:hint="eastAsia" w:ascii="宋体" w:hAnsi="宋体" w:eastAsia="宋体" w:cs="宋体"/>
          <w:spacing w:val="3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广西</w:t>
      </w:r>
      <w:r>
        <w:rPr>
          <w:rFonts w:hint="eastAsia" w:ascii="宋体" w:hAnsi="宋体" w:eastAsia="宋体" w:cs="宋体"/>
          <w:spacing w:val="1"/>
          <w:sz w:val="21"/>
          <w:szCs w:val="21"/>
        </w:rPr>
        <w:t>民办高校重点建设专业”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pacing w:val="1"/>
          <w:sz w:val="21"/>
          <w:szCs w:val="21"/>
        </w:rPr>
        <w:t>立项；2014 年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获批“</w:t>
      </w:r>
      <w:r>
        <w:rPr>
          <w:rFonts w:hint="eastAsia" w:ascii="宋体" w:hAnsi="宋体" w:eastAsia="宋体" w:cs="宋体"/>
          <w:spacing w:val="1"/>
          <w:sz w:val="21"/>
          <w:szCs w:val="21"/>
        </w:rPr>
        <w:t>广西新建本科院校转型发展首期试点</w:t>
      </w:r>
      <w:r>
        <w:rPr>
          <w:rFonts w:hint="eastAsia" w:ascii="宋体" w:hAnsi="宋体" w:eastAsia="宋体" w:cs="宋体"/>
          <w:sz w:val="21"/>
          <w:szCs w:val="21"/>
        </w:rPr>
        <w:t>专业群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pacing w:val="1"/>
          <w:sz w:val="21"/>
          <w:szCs w:val="21"/>
        </w:rPr>
        <w:t>立项</w:t>
      </w:r>
      <w:r>
        <w:rPr>
          <w:rFonts w:hint="eastAsia" w:ascii="宋体" w:hAnsi="宋体" w:eastAsia="宋体" w:cs="宋体"/>
          <w:sz w:val="21"/>
          <w:szCs w:val="21"/>
        </w:rPr>
        <w:t xml:space="preserve">；2016 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获批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广西“创新创业教育改革示范专业”立项；2019 年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获批</w:t>
      </w:r>
      <w:r>
        <w:rPr>
          <w:rFonts w:hint="eastAsia" w:ascii="宋体" w:hAnsi="宋体" w:eastAsia="宋体" w:cs="宋体"/>
          <w:spacing w:val="4"/>
          <w:sz w:val="21"/>
          <w:szCs w:val="21"/>
        </w:rPr>
        <w:t>“省级一流本科专业建设点”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spacing w:val="6"/>
          <w:sz w:val="21"/>
          <w:szCs w:val="21"/>
        </w:rPr>
        <w:t>立项等。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4"/>
          <w:sz w:val="21"/>
          <w:szCs w:val="21"/>
        </w:rPr>
        <w:t>土木工程专业重视教学的实</w:t>
      </w:r>
      <w:r>
        <w:rPr>
          <w:rFonts w:hint="eastAsia" w:ascii="宋体" w:hAnsi="宋体" w:eastAsia="宋体" w:cs="宋体"/>
          <w:spacing w:val="2"/>
          <w:sz w:val="21"/>
          <w:szCs w:val="21"/>
        </w:rPr>
        <w:t>践性和创新性，以培养学生专业技能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2"/>
          <w:sz w:val="21"/>
          <w:szCs w:val="21"/>
        </w:rPr>
        <w:t>科研能力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创新精神和实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践能力为目标，充分满足学生需要，培养适应社会的高级应用型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技术型人才，</w:t>
      </w:r>
      <w:r>
        <w:rPr>
          <w:rFonts w:hint="eastAsia" w:ascii="宋体" w:hAnsi="宋体" w:eastAsia="宋体" w:cs="宋体"/>
          <w:sz w:val="21"/>
          <w:szCs w:val="21"/>
        </w:rPr>
        <w:t>让学生毕业后能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很</w:t>
      </w:r>
      <w:r>
        <w:rPr>
          <w:rFonts w:hint="eastAsia" w:ascii="宋体" w:hAnsi="宋体" w:eastAsia="宋体" w:cs="宋体"/>
          <w:spacing w:val="8"/>
          <w:sz w:val="21"/>
          <w:szCs w:val="21"/>
        </w:rPr>
        <w:t>好的适应社会的各种岗位。</w:t>
      </w: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b/>
          <w:bCs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二 、培养目标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参考内容 、格式如下：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本专业培养掌握  ( ……等方面的)  知识，  具备  ( ……等方面的)  能力和素质，   能在  ( ……等 部门/领域 、单位/岗位)  从事  ( ……方面工作)  的  ( ……高级)    应用型人才。</w:t>
      </w: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b/>
          <w:bCs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三 、培养要求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参考内容 、格式如下：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注重( ……方面)  的培养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pacing w:val="2"/>
          <w:sz w:val="21"/>
          <w:szCs w:val="21"/>
        </w:rPr>
        <w:t>通过学习,学生系统扎实地掌握( ……方面)的基本理论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具有所需( ……方面)的基础知识；掌握( ……方面)的能力(思路和方法)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具备( ……方面)的能力(意识)。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例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注重化学基础理论知识和基本实验方法的培养,注重数学和物理基础的构建,注重与物理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2"/>
          <w:sz w:val="21"/>
          <w:szCs w:val="21"/>
        </w:rPr>
        <w:t>生命、材料、环境等学科的交叉融合。通过学习,学生具有宽厚而扎实的化学知识基础,掌握化学认识世界的基本思路和方法,具有获取、分析、提炼、关联和整合信息的能力,具备自主学习能力和创新意识,具备从事科学研究的基本素养,能够在未知的领域提出问题,并拥有跨学科解决问题的能力。</w:t>
      </w: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b/>
          <w:bCs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四 、主干学科</w:t>
      </w: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b/>
          <w:bCs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五 、核心课程</w:t>
      </w:r>
    </w:p>
    <w:p>
      <w:pPr>
        <w:spacing w:before="109" w:line="360" w:lineRule="auto"/>
        <w:ind w:right="40" w:firstLine="426"/>
        <w:rPr>
          <w:rFonts w:hint="eastAsia" w:ascii="宋体" w:hAnsi="宋体" w:eastAsia="宋体" w:cs="宋体"/>
          <w:b/>
          <w:bCs/>
          <w:spacing w:val="-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2"/>
          <w:sz w:val="21"/>
          <w:szCs w:val="21"/>
        </w:rPr>
        <w:t>六 、标准辅修专业的要求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学生在主修专业学制规定的学习年限内,修完主修专业培养方案规定的课程及学分的同时,完 成辅修专业培养方案规定课程和学分,可申请在其毕业证书上同时标注已完成的主修专业和辅修 专业。</w:t>
      </w:r>
    </w:p>
    <w:p>
      <w:pPr>
        <w:spacing w:line="360" w:lineRule="auto"/>
        <w:ind w:left="4" w:right="41" w:firstLine="422"/>
        <w:rPr>
          <w:rFonts w:hint="eastAsia" w:ascii="宋体" w:hAnsi="宋体" w:eastAsia="宋体" w:cs="宋体"/>
          <w:spacing w:val="2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辅修专业总学分：    学分</w:t>
      </w:r>
    </w:p>
    <w:p>
      <w:pPr>
        <w:rPr>
          <w:rFonts w:hint="eastAsia" w:ascii="宋体" w:hAnsi="宋体" w:eastAsia="宋体" w:cs="宋体"/>
        </w:rPr>
        <w:sectPr>
          <w:footerReference r:id="rId5" w:type="default"/>
          <w:pgSz w:w="11906" w:h="16839"/>
          <w:pgMar w:top="1393" w:right="1433" w:bottom="1014" w:left="1593" w:header="0" w:footer="854" w:gutter="0"/>
          <w:cols w:space="720" w:num="1"/>
        </w:sectPr>
      </w:pPr>
    </w:p>
    <w:p>
      <w:pPr>
        <w:spacing w:before="100" w:line="192" w:lineRule="auto"/>
        <w:ind w:left="577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</w:rPr>
        <w:t xml:space="preserve">表  </w:t>
      </w:r>
      <w:r>
        <w:rPr>
          <w:rFonts w:hint="eastAsia" w:ascii="宋体" w:hAnsi="宋体" w:eastAsia="宋体" w:cs="宋体"/>
          <w:sz w:val="28"/>
          <w:szCs w:val="28"/>
        </w:rPr>
        <w:t>XX</w:t>
      </w:r>
      <w:r>
        <w:rPr>
          <w:rFonts w:hint="eastAsia" w:ascii="宋体" w:hAnsi="宋体" w:eastAsia="宋体" w:cs="宋体"/>
          <w:spacing w:val="4"/>
          <w:sz w:val="28"/>
          <w:szCs w:val="28"/>
        </w:rPr>
        <w:t xml:space="preserve"> 专业辅修教学计划</w:t>
      </w:r>
      <w:r>
        <w:rPr>
          <w:rFonts w:hint="eastAsia" w:ascii="宋体" w:hAnsi="宋体" w:eastAsia="宋体" w:cs="宋体"/>
          <w:spacing w:val="1"/>
          <w:sz w:val="28"/>
          <w:szCs w:val="28"/>
        </w:rPr>
        <w:t>表</w:t>
      </w:r>
    </w:p>
    <w:p>
      <w:pPr>
        <w:spacing w:line="107" w:lineRule="exact"/>
        <w:rPr>
          <w:rFonts w:hint="eastAsia" w:ascii="宋体" w:hAnsi="宋体" w:eastAsia="宋体" w:cs="宋体"/>
        </w:rPr>
      </w:pPr>
    </w:p>
    <w:tbl>
      <w:tblPr>
        <w:tblStyle w:val="4"/>
        <w:tblW w:w="15115" w:type="dxa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631"/>
        <w:gridCol w:w="2146"/>
        <w:gridCol w:w="2374"/>
        <w:gridCol w:w="733"/>
        <w:gridCol w:w="533"/>
        <w:gridCol w:w="533"/>
        <w:gridCol w:w="598"/>
        <w:gridCol w:w="468"/>
        <w:gridCol w:w="447"/>
        <w:gridCol w:w="430"/>
        <w:gridCol w:w="466"/>
        <w:gridCol w:w="450"/>
        <w:gridCol w:w="450"/>
        <w:gridCol w:w="450"/>
        <w:gridCol w:w="450"/>
        <w:gridCol w:w="469"/>
        <w:gridCol w:w="400"/>
        <w:gridCol w:w="1021"/>
        <w:gridCol w:w="13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88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课程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性质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板块</w:t>
            </w:r>
          </w:p>
        </w:tc>
        <w:tc>
          <w:tcPr>
            <w:tcW w:w="214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75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87" w:lineRule="auto"/>
              <w:ind w:left="6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课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程代码</w:t>
            </w:r>
          </w:p>
        </w:tc>
        <w:tc>
          <w:tcPr>
            <w:tcW w:w="237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75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5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89" w:lineRule="auto"/>
              <w:ind w:left="809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课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程名称</w:t>
            </w:r>
          </w:p>
        </w:tc>
        <w:tc>
          <w:tcPr>
            <w:tcW w:w="73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86" w:lineRule="auto"/>
              <w:ind w:left="1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学分</w:t>
            </w:r>
          </w:p>
        </w:tc>
        <w:tc>
          <w:tcPr>
            <w:tcW w:w="53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before="167" w:line="189" w:lineRule="auto"/>
              <w:ind w:left="39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总 学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时</w:t>
            </w:r>
          </w:p>
        </w:tc>
        <w:tc>
          <w:tcPr>
            <w:tcW w:w="53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before="166" w:line="185" w:lineRule="auto"/>
              <w:ind w:left="5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验</w:t>
            </w:r>
          </w:p>
        </w:tc>
        <w:tc>
          <w:tcPr>
            <w:tcW w:w="59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35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93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实</w:t>
            </w:r>
          </w:p>
          <w:p>
            <w:pPr>
              <w:spacing w:before="1" w:line="184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践</w:t>
            </w:r>
          </w:p>
        </w:tc>
        <w:tc>
          <w:tcPr>
            <w:tcW w:w="46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91" w:lineRule="auto"/>
              <w:ind w:left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</w:p>
          <w:p>
            <w:pPr>
              <w:spacing w:line="18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机</w:t>
            </w:r>
          </w:p>
        </w:tc>
        <w:tc>
          <w:tcPr>
            <w:tcW w:w="3612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4" w:line="187" w:lineRule="auto"/>
              <w:ind w:left="10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课时间及周学时</w:t>
            </w:r>
          </w:p>
        </w:tc>
        <w:tc>
          <w:tcPr>
            <w:tcW w:w="400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center"/>
          </w:tcPr>
          <w:p>
            <w:pPr>
              <w:spacing w:before="95" w:line="185" w:lineRule="auto"/>
              <w:ind w:left="5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考 试</w:t>
            </w:r>
          </w:p>
        </w:tc>
        <w:tc>
          <w:tcPr>
            <w:tcW w:w="102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3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91" w:lineRule="auto"/>
              <w:ind w:left="33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开课</w:t>
            </w:r>
          </w:p>
          <w:p>
            <w:pPr>
              <w:spacing w:line="189" w:lineRule="auto"/>
              <w:ind w:left="33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位</w:t>
            </w:r>
          </w:p>
        </w:tc>
        <w:tc>
          <w:tcPr>
            <w:tcW w:w="137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3" w:line="190" w:lineRule="auto"/>
              <w:ind w:left="501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备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8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32" w:lineRule="exact"/>
              <w:ind w:left="13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4"/>
                <w:position w:val="1"/>
                <w:sz w:val="18"/>
                <w:szCs w:val="18"/>
              </w:rPr>
              <w:t>一</w:t>
            </w: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66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二</w:t>
            </w: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73" w:lineRule="auto"/>
              <w:ind w:left="1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三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72" w:lineRule="auto"/>
              <w:ind w:left="1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77" w:lineRule="auto"/>
              <w:ind w:left="13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五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6" w:lineRule="auto"/>
              <w:ind w:left="13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六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78" w:lineRule="auto"/>
              <w:ind w:left="13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七</w:t>
            </w: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174" w:lineRule="auto"/>
              <w:ind w:left="13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八</w:t>
            </w:r>
          </w:p>
        </w:tc>
        <w:tc>
          <w:tcPr>
            <w:tcW w:w="4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8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190" w:lineRule="auto"/>
              <w:ind w:left="13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秋</w:t>
            </w: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7" w:lineRule="auto"/>
              <w:ind w:left="13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春</w:t>
            </w: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190" w:lineRule="auto"/>
              <w:ind w:left="14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秋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7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春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190" w:lineRule="auto"/>
              <w:ind w:left="13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秋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7" w:lineRule="auto"/>
              <w:ind w:left="13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春</w:t>
            </w: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190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秋</w:t>
            </w: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187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春</w:t>
            </w:r>
          </w:p>
        </w:tc>
        <w:tc>
          <w:tcPr>
            <w:tcW w:w="400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restart"/>
            <w:textDirection w:val="tbRlV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000" w:lineRule="exact"/>
              <w:ind w:left="867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  业  教  育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</w:t>
            </w:r>
          </w:p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基础</w:t>
            </w:r>
          </w:p>
          <w:p>
            <w:pPr>
              <w:spacing w:before="13"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before="228" w:line="360" w:lineRule="auto"/>
              <w:ind w:left="8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vAlign w:val="top"/>
          </w:tcPr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before="228" w:line="360" w:lineRule="auto"/>
              <w:ind w:left="8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vAlign w:val="top"/>
          </w:tcPr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before="228" w:line="360" w:lineRule="auto"/>
              <w:ind w:left="8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bottom w:val="nil"/>
            </w:tcBorders>
            <w:vAlign w:val="top"/>
          </w:tcPr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5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before="228" w:line="360" w:lineRule="auto"/>
              <w:ind w:left="8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</w:t>
            </w:r>
          </w:p>
          <w:p>
            <w:pPr>
              <w:spacing w:before="13"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核心</w:t>
            </w:r>
          </w:p>
          <w:p>
            <w:pPr>
              <w:spacing w:before="13" w:line="36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</w:t>
            </w: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before="228" w:line="360" w:lineRule="auto"/>
              <w:ind w:left="8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vAlign w:val="bottom"/>
          </w:tcPr>
          <w:p>
            <w:pPr>
              <w:spacing w:before="13" w:line="360" w:lineRule="auto"/>
              <w:ind w:left="9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95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95" w:lineRule="exact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single" w:color="000000" w:sz="2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03" w:lineRule="auto"/>
              <w:ind w:left="9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计 </w:t>
            </w: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7" w:line="360" w:lineRule="auto"/>
              <w:ind w:left="99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专业选修课</w:t>
            </w: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95" w:lineRule="exact"/>
              <w:ind w:left="10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95" w:lineRule="exact"/>
              <w:ind w:left="10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95" w:lineRule="exact"/>
              <w:ind w:left="109"/>
              <w:rPr>
                <w:rFonts w:hint="eastAsia" w:ascii="宋体" w:hAnsi="宋体" w:eastAsia="宋体" w:cs="宋体"/>
                <w:spacing w:val="4"/>
                <w:positio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8" w:type="dxa"/>
            <w:vMerge w:val="continue"/>
            <w:tcBorders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205" w:lineRule="auto"/>
              <w:ind w:left="9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计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修够XX学分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6" w:lineRule="auto"/>
              <w:ind w:left="1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实践教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学</w:t>
            </w:r>
          </w:p>
        </w:tc>
        <w:tc>
          <w:tcPr>
            <w:tcW w:w="21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15" w:lineRule="auto"/>
              <w:ind w:left="1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毕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业设计(论文)</w:t>
            </w: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83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7" w:lineRule="auto"/>
              <w:ind w:left="271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总计</w:t>
            </w:r>
          </w:p>
        </w:tc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</w:rPr>
        <w:sectPr>
          <w:footerReference r:id="rId6" w:type="default"/>
          <w:pgSz w:w="16839" w:h="11906"/>
          <w:pgMar w:top="1012" w:right="929" w:bottom="1014" w:left="929" w:header="0" w:footer="854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49" w:line="197" w:lineRule="auto"/>
        <w:ind w:left="400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3</w:t>
      </w:r>
    </w:p>
    <w:sectPr>
      <w:footerReference r:id="rId7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21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26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5ODEzMzg5ZmUyMDJlYzgxYzA3MTk5NTYwYzA2ODAifQ=="/>
  </w:docVars>
  <w:rsids>
    <w:rsidRoot w:val="00000000"/>
    <w:rsid w:val="52FF5814"/>
    <w:rsid w:val="67E70A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945</Words>
  <Characters>964</Characters>
  <TotalTime>0</TotalTime>
  <ScaleCrop>false</ScaleCrop>
  <LinksUpToDate>false</LinksUpToDate>
  <CharactersWithSpaces>1042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2023-09-01T08:38:00Z</dcterms:created>
  <dc:creator>Yang</dc:creator>
  <cp:lastModifiedBy>lyl</cp:lastModifiedBy>
  <dcterms:modified xsi:type="dcterms:W3CDTF">2023-09-01T01:06:39Z</dcterms:modified>
  <dc:title>专业代码：560301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2023-09-01T08:39:05Z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9A3BC60DE560477994E06F42833A68EF_13</vt:lpwstr>
  </property>
</Properties>
</file>