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textAlignment w:val="auto"/>
        <w:rPr>
          <w:rFonts w:ascii="Times New Roman" w:hAnsi="Times New Roman"/>
          <w:b/>
          <w:color w:val="0000FF"/>
          <w:sz w:val="21"/>
        </w:rPr>
      </w:pPr>
      <w:r>
        <w:rPr>
          <w:rFonts w:hint="eastAsia" w:ascii="Times New Roman" w:hAnsi="Times New Roman"/>
          <w:b/>
          <w:color w:val="0000FF"/>
          <w:sz w:val="21"/>
        </w:rPr>
        <w:t>理论课教学大纲参考格式说明：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【注：课程教学大纲要明确课程教学目标、教学内容、教学要求、教学设计、教学考核的基本标准和规范，要给授课教师留足基于学情、个人和团队擅长、改革实践等发挥空间。】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【注：对于技术或技能训练占比大的课程，可以参照理论教学大纲，设计理论教学与实践教学一体化的特色课程大纲。】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w:t>【注：</w:t>
      </w:r>
      <w:r>
        <w:rPr>
          <w:rFonts w:hint="eastAsia" w:ascii="Times New Roman" w:hAnsi="Times New Roman"/>
          <w:color w:val="0000FF"/>
          <w:sz w:val="21"/>
          <w:szCs w:val="21"/>
        </w:rPr>
        <w:t>大</w:t>
      </w:r>
      <w:r>
        <w:rPr>
          <w:rFonts w:ascii="Times New Roman" w:hAnsi="Times New Roman"/>
          <w:color w:val="0000FF"/>
          <w:sz w:val="21"/>
          <w:szCs w:val="21"/>
        </w:rPr>
        <w:t>标题为黑体</w:t>
      </w:r>
      <w:r>
        <w:rPr>
          <w:rFonts w:hint="eastAsia" w:ascii="Times New Roman" w:hAnsi="Times New Roman"/>
          <w:color w:val="0000FF"/>
          <w:sz w:val="21"/>
          <w:szCs w:val="21"/>
        </w:rPr>
        <w:t>小</w:t>
      </w:r>
      <w:r>
        <w:rPr>
          <w:rFonts w:ascii="Times New Roman" w:hAnsi="Times New Roman"/>
          <w:color w:val="0000FF"/>
          <w:sz w:val="21"/>
          <w:szCs w:val="21"/>
        </w:rPr>
        <w:t>四号，小标题为黑体五</w:t>
      </w:r>
      <w:r>
        <w:rPr>
          <w:rFonts w:hint="eastAsia" w:ascii="Times New Roman" w:hAnsi="Times New Roman"/>
          <w:color w:val="0000FF"/>
          <w:sz w:val="21"/>
          <w:szCs w:val="21"/>
        </w:rPr>
        <w:t>号</w:t>
      </w:r>
      <w:r>
        <w:rPr>
          <w:rFonts w:ascii="Times New Roman" w:hAnsi="Times New Roman"/>
          <w:color w:val="0000FF"/>
          <w:sz w:val="21"/>
          <w:szCs w:val="21"/>
        </w:rPr>
        <w:t>，</w:t>
      </w:r>
      <w:r>
        <w:rPr>
          <w:rFonts w:hint="eastAsia" w:ascii="Times New Roman" w:hAnsi="Times New Roman"/>
          <w:color w:val="0000FF"/>
          <w:sz w:val="21"/>
        </w:rPr>
        <w:t>正文为</w:t>
      </w:r>
      <w:r>
        <w:rPr>
          <w:rFonts w:ascii="Times New Roman" w:hAnsi="Times New Roman"/>
          <w:color w:val="0000FF"/>
          <w:sz w:val="21"/>
        </w:rPr>
        <w:t>宋</w:t>
      </w:r>
      <w:r>
        <w:rPr>
          <w:rFonts w:hint="eastAsia" w:ascii="Times New Roman" w:hAnsi="Times New Roman"/>
          <w:color w:val="0000FF"/>
          <w:sz w:val="21"/>
        </w:rPr>
        <w:t>体五</w:t>
      </w:r>
      <w:r>
        <w:rPr>
          <w:rFonts w:ascii="Times New Roman" w:hAnsi="Times New Roman"/>
          <w:color w:val="0000FF"/>
          <w:sz w:val="21"/>
        </w:rPr>
        <w:t>号字，</w:t>
      </w:r>
      <w:r>
        <w:rPr>
          <w:rFonts w:hint="eastAsia" w:ascii="Times New Roman" w:hAnsi="Times New Roman"/>
          <w:color w:val="0000FF"/>
          <w:sz w:val="21"/>
        </w:rPr>
        <w:t>行间距18磅】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</w:rPr>
      </w:pPr>
      <w:r>
        <w:rPr>
          <w:rFonts w:hint="eastAsia" w:ascii="Times New Roman" w:hAnsi="Times New Roman"/>
          <w:color w:val="0000FF"/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5631180</wp:posOffset>
                </wp:positionH>
                <wp:positionV relativeFrom="paragraph">
                  <wp:posOffset>38100</wp:posOffset>
                </wp:positionV>
                <wp:extent cx="1677670" cy="784860"/>
                <wp:effectExtent l="762000" t="0" r="17780" b="15240"/>
                <wp:wrapNone/>
                <wp:docPr id="1" name="圆角矩形标注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7670" cy="784860"/>
                        </a:xfrm>
                        <a:prstGeom prst="wedgeRoundRectCallout">
                          <a:avLst>
                            <a:gd name="adj1" fmla="val -92315"/>
                            <a:gd name="adj2" fmla="val -6022"/>
                            <a:gd name="adj3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居中、中文黑体、英文Times New Roman</w:t>
                            </w:r>
                            <w:r>
                              <w:rPr>
                                <w:rFonts w:hint="eastAsia" w:ascii="宋体" w:hAnsi="宋体" w:eastAsia="宋体"/>
                                <w:color w:val="0000FF"/>
                                <w:szCs w:val="21"/>
                              </w:rPr>
                              <w:t>加粗</w:t>
                            </w:r>
                            <w:r>
                              <w:rPr>
                                <w:rFonts w:ascii="宋体" w:hAnsi="宋体" w:eastAsia="宋体"/>
                                <w:color w:val="0000FF"/>
                                <w:szCs w:val="21"/>
                              </w:rPr>
                              <w:t>、小三号； 1.5倍行距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2" type="#_x0000_t62" style="position:absolute;left:0pt;margin-left:443.4pt;margin-top:3pt;height:61.8pt;width:132.1pt;mso-position-horizontal-relative:page;z-index:251659264;mso-width-relative:page;mso-height-relative:page;" fillcolor="#FFFFFF" filled="t" stroked="t" coordsize="21600,21600" o:gfxdata="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rewTH2AAAAAoBAAAPAAAA&#10;AAAAAAEAIAAAACIAAABkcnMvZG93bnJldi54bWxQSwECFAAUAAAACACHTuJA6InaQYcCAAANBQAA&#10;DgAAAAAAAAABACAAAAAnAQAAZHJzL2Uyb0RvYy54bWxQSwUGAAAAAAYABgBZAQAAIAYAAAAA&#10;" adj="-9140,9499,14400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</w:pP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居中、中文黑体、英文Times New Roman</w:t>
                      </w:r>
                      <w:r>
                        <w:rPr>
                          <w:rFonts w:hint="eastAsia" w:ascii="宋体" w:hAnsi="宋体" w:eastAsia="宋体"/>
                          <w:color w:val="0000FF"/>
                          <w:szCs w:val="21"/>
                        </w:rPr>
                        <w:t>加粗</w:t>
                      </w:r>
                      <w:r>
                        <w:rPr>
                          <w:rFonts w:ascii="宋体" w:hAnsi="宋体" w:eastAsia="宋体"/>
                          <w:color w:val="0000FF"/>
                          <w:szCs w:val="21"/>
                        </w:rPr>
                        <w:t>、小三号； 1.5倍行距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Times New Roman" w:hAnsi="Times New Roman"/>
          <w:color w:val="0000FF"/>
          <w:sz w:val="21"/>
        </w:rPr>
        <w:t>【注：正式稿蓝色部分和示例部分全部删除】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156" w:beforeLines="50" w:beforeAutospacing="0" w:after="312" w:afterLines="100" w:afterAutospacing="0" w:line="360" w:lineRule="exact"/>
        <w:jc w:val="center"/>
        <w:textAlignment w:val="auto"/>
        <w:outlineLvl w:val="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《</w:t>
      </w:r>
      <w:r>
        <w:rPr>
          <w:rFonts w:ascii="Times New Roman" w:hAnsi="Times New Roman" w:eastAsia="黑体" w:cs="Times New Roman"/>
          <w:sz w:val="30"/>
          <w:szCs w:val="30"/>
        </w:rPr>
        <w:t xml:space="preserve">       </w:t>
      </w:r>
      <w:r>
        <w:rPr>
          <w:rFonts w:hint="eastAsia" w:ascii="Times New Roman" w:hAnsi="Times New Roman" w:eastAsia="黑体" w:cs="黑体"/>
          <w:sz w:val="30"/>
          <w:szCs w:val="30"/>
        </w:rPr>
        <w:t>》课程教学大纲</w:t>
      </w:r>
    </w:p>
    <w:tbl>
      <w:tblPr>
        <w:tblStyle w:val="11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1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课程名称：</w:t>
            </w:r>
          </w:p>
        </w:tc>
        <w:tc>
          <w:tcPr>
            <w:tcW w:w="24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课程代码：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黑体" w:hAnsi="黑体" w:eastAsia="黑体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szCs w:val="21"/>
              </w:rPr>
              <w:t>课程</w:t>
            </w:r>
            <w:r>
              <w:rPr>
                <w:rFonts w:hint="eastAsia" w:ascii="黑体" w:hAnsi="黑体" w:eastAsia="黑体"/>
                <w:szCs w:val="21"/>
                <w:lang w:val="en-US" w:eastAsia="zh-CN"/>
              </w:rPr>
              <w:t>英文</w:t>
            </w:r>
            <w:r>
              <w:rPr>
                <w:rFonts w:hint="eastAsia" w:ascii="黑体" w:hAnsi="黑体" w:eastAsia="黑体"/>
                <w:szCs w:val="21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9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学分数：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Times New Roman" w:hAnsi="Times New Roman"/>
              </w:rPr>
              <w:t>学分</w:t>
            </w:r>
          </w:p>
        </w:tc>
        <w:tc>
          <w:tcPr>
            <w:tcW w:w="2440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学时数：</w:t>
            </w:r>
            <w:r>
              <w:rPr>
                <w:rFonts w:hint="eastAsia" w:ascii="Times New Roman" w:hAnsi="Times New Roman"/>
                <w:color w:val="0000FF"/>
              </w:rPr>
              <w:t>××</w:t>
            </w:r>
            <w:r>
              <w:rPr>
                <w:rFonts w:hint="eastAsia" w:ascii="Times New Roman" w:hAnsi="Times New Roman"/>
              </w:rPr>
              <w:t>学时</w:t>
            </w:r>
            <w:r>
              <w:rPr>
                <w:rFonts w:hint="eastAsia" w:ascii="Times New Roman" w:hAnsi="Times New Roman"/>
                <w:color w:val="0000FF"/>
              </w:rPr>
              <w:t>（理论学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：？；实验学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：？；上机学</w:t>
            </w:r>
            <w:r>
              <w:rPr>
                <w:rFonts w:ascii="Times New Roman" w:hAnsi="Times New Roman"/>
                <w:color w:val="0000FF"/>
              </w:rPr>
              <w:t>时</w:t>
            </w:r>
            <w:r>
              <w:rPr>
                <w:rFonts w:hint="eastAsia" w:ascii="Times New Roman" w:hAnsi="Times New Roman"/>
                <w:color w:val="0000FF"/>
              </w:rPr>
              <w:t>：？；</w:t>
            </w:r>
            <w:r>
              <w:rPr>
                <w:rFonts w:ascii="Times New Roman" w:hAnsi="Times New Roman"/>
                <w:color w:val="0000FF"/>
              </w:rPr>
              <w:t>…</w:t>
            </w:r>
            <w:r>
              <w:rPr>
                <w:rFonts w:hint="eastAsia" w:ascii="Times New Roman" w:hAnsi="Times New Roman"/>
                <w:color w:val="0000FF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黑体" w:hAnsi="黑体" w:eastAsia="黑体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2"/>
                <w:sz w:val="21"/>
                <w:szCs w:val="21"/>
              </w:rPr>
              <w:t>适用专业：</w:t>
            </w:r>
            <w:r>
              <w:rPr>
                <w:rFonts w:hint="eastAsia"/>
                <w:color w:val="0000FF"/>
                <w:sz w:val="21"/>
                <w:szCs w:val="21"/>
              </w:rPr>
              <w:t>可填对</w:t>
            </w:r>
            <w:r>
              <w:rPr>
                <w:color w:val="0000FF"/>
                <w:sz w:val="21"/>
                <w:szCs w:val="21"/>
              </w:rPr>
              <w:t>应</w:t>
            </w:r>
            <w:r>
              <w:rPr>
                <w:rFonts w:hint="eastAsia"/>
                <w:color w:val="0000FF"/>
                <w:sz w:val="21"/>
                <w:szCs w:val="21"/>
              </w:rPr>
              <w:t>专业</w:t>
            </w:r>
            <w:r>
              <w:rPr>
                <w:color w:val="0000FF"/>
                <w:sz w:val="21"/>
                <w:szCs w:val="21"/>
              </w:rPr>
              <w:t>、</w:t>
            </w:r>
            <w:r>
              <w:rPr>
                <w:rFonts w:hint="eastAsia"/>
                <w:color w:val="0000FF"/>
                <w:sz w:val="21"/>
                <w:szCs w:val="21"/>
              </w:rPr>
              <w:t>专业类、</w:t>
            </w:r>
            <w:r>
              <w:rPr>
                <w:color w:val="0000FF"/>
                <w:sz w:val="21"/>
                <w:szCs w:val="21"/>
              </w:rPr>
              <w:t>学科</w:t>
            </w:r>
            <w:r>
              <w:rPr>
                <w:rFonts w:hint="eastAsia"/>
                <w:color w:val="0000FF"/>
                <w:sz w:val="21"/>
                <w:szCs w:val="21"/>
              </w:rPr>
              <w:t>，</w:t>
            </w:r>
            <w:r>
              <w:rPr>
                <w:color w:val="0000FF"/>
                <w:sz w:val="21"/>
                <w:szCs w:val="21"/>
              </w:rPr>
              <w:t>面向全校开设</w:t>
            </w:r>
            <w:r>
              <w:rPr>
                <w:rFonts w:hint="eastAsia"/>
                <w:color w:val="0000FF"/>
                <w:sz w:val="21"/>
                <w:szCs w:val="21"/>
              </w:rPr>
              <w:t>的</w:t>
            </w:r>
            <w:r>
              <w:rPr>
                <w:color w:val="0000FF"/>
                <w:sz w:val="21"/>
                <w:szCs w:val="21"/>
              </w:rPr>
              <w:t>公共基础课程可不填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right="-288" w:rightChars="-137"/>
              <w:textAlignment w:val="auto"/>
              <w:rPr>
                <w:rFonts w:ascii="Times New Roman" w:hAnsi="Times New Roman" w:eastAsia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Cs w:val="21"/>
              </w:rPr>
              <w:t>先修课程：</w:t>
            </w:r>
            <w:r>
              <w:rPr>
                <w:rFonts w:hint="eastAsia"/>
                <w:color w:val="0000FF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后续课程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/>
                <w:color w:val="0000FF"/>
                <w:sz w:val="21"/>
                <w:szCs w:val="21"/>
              </w:rPr>
              <w:t>×××、×××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（根据课程实际选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2"/>
            <w:vAlign w:val="center"/>
          </w:tcPr>
          <w:p>
            <w:pPr>
              <w:pStyle w:val="9"/>
              <w:keepNext w:val="0"/>
              <w:keepLines w:val="0"/>
              <w:pageBreakBefore w:val="0"/>
              <w:tabs>
                <w:tab w:val="left" w:pos="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ascii="Times New Roman" w:hAnsi="Times New Roman"/>
                <w:color w:val="0000FF"/>
                <w:sz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</w:rPr>
              <w:t>劳动模块</w:t>
            </w:r>
            <w:r>
              <w:rPr>
                <w:rFonts w:hint="eastAsia" w:ascii="Times New Roman" w:hAnsi="Times New Roman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？？学时（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选</w:t>
            </w:r>
            <w:r>
              <w:rPr>
                <w:rFonts w:ascii="Times New Roman" w:hAnsi="Times New Roman"/>
                <w:color w:val="0000FF"/>
                <w:kern w:val="2"/>
                <w:sz w:val="21"/>
                <w:szCs w:val="21"/>
              </w:rPr>
              <w:t>填</w:t>
            </w:r>
            <w:r>
              <w:rPr>
                <w:rFonts w:hint="eastAsia" w:ascii="Times New Roman" w:hAnsi="Times New Roman"/>
                <w:color w:val="0000FF"/>
                <w:kern w:val="2"/>
                <w:sz w:val="21"/>
                <w:szCs w:val="21"/>
              </w:rPr>
              <w:t>，可以删除，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如有，请填</w:t>
            </w:r>
            <w:r>
              <w:rPr>
                <w:rFonts w:ascii="Times New Roman" w:hAnsi="Times New Roman"/>
                <w:color w:val="0000FF"/>
                <w:sz w:val="21"/>
                <w:szCs w:val="21"/>
              </w:rPr>
              <w:t>写</w:t>
            </w:r>
            <w:r>
              <w:rPr>
                <w:rFonts w:hint="eastAsia" w:ascii="Times New Roman" w:hAnsi="Times New Roman"/>
                <w:color w:val="0000FF"/>
                <w:sz w:val="21"/>
                <w:szCs w:val="21"/>
              </w:rPr>
              <w:t>劳动教育模块教学要求）</w:t>
            </w:r>
          </w:p>
        </w:tc>
      </w:tr>
    </w:tbl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</w:rPr>
        <w:t>一</w:t>
      </w:r>
      <w:r>
        <w:rPr>
          <w:rFonts w:ascii="Times New Roman" w:hAnsi="Times New Roman" w:eastAsia="黑体" w:cs="黑体"/>
        </w:rPr>
        <w:t>、课程简介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说明：简要介绍本课程在课程体系的地位及主要内容、基本要求，以及学生通过学习本课程后所能掌握的分析问题和解决问题的能力。（200-300字左右）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算法设计与分析</w:t>
      </w:r>
      <w:r>
        <w:rPr>
          <w:rFonts w:hint="eastAsia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》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是计算机类专业的一门重要的专业必修课，课程理论与实践并重，应用范围广，尤其在当前大数据与人工智能时代下，算法设计与分析在计算机科学领域中的重要性更是凸显。课程系统介绍算法效率分析基础以及常用的算法设计思想与方法，包括分治法、动态规划法、贪心法、回溯法、分支限界法、随机化和遗传算法等，并结合实际案例加深算法思想理解和设计方法的探讨。通过本课程的学习，使学生熟练掌握算法复杂性分析基本方法，算法设计的基本理论、方法和技术，训练计算和逻辑思维，锻炼学生分析问题和解决问题的能力，为开发高效的计算系统及相关领域的研究工作奠定坚实的基础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eastAsia="黑体"/>
          <w:b/>
          <w:color w:val="000000"/>
          <w:lang w:val="en-US" w:eastAsia="zh-CN"/>
        </w:rPr>
      </w:pPr>
      <w:r>
        <w:rPr>
          <w:rFonts w:hint="eastAsia" w:ascii="Times New Roman" w:hAnsi="Times New Roman" w:eastAsia="黑体" w:cs="黑体"/>
        </w:rPr>
        <w:t>二、课程目标</w:t>
      </w:r>
      <w:r>
        <w:rPr>
          <w:rFonts w:hint="eastAsia" w:ascii="Times New Roman" w:hAnsi="Times New Roman" w:eastAsia="黑体" w:cs="黑体"/>
          <w:lang w:val="en-US" w:eastAsia="zh-CN"/>
        </w:rPr>
        <w:t>及与毕业要求的对应关系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hint="default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（</w:t>
      </w:r>
      <w:r>
        <w:rPr>
          <w:rFonts w:hint="eastAsia" w:ascii="Times New Roman" w:hAnsi="Times New Roman" w:eastAsia="黑体" w:cs="黑体"/>
          <w:lang w:val="en-US" w:eastAsia="zh-CN"/>
        </w:rPr>
        <w:t>一</w:t>
      </w:r>
      <w:r>
        <w:rPr>
          <w:rFonts w:hint="eastAsia" w:ascii="Times New Roman" w:hAnsi="Times New Roman" w:eastAsia="黑体" w:cs="黑体"/>
          <w:lang w:eastAsia="zh-CN"/>
        </w:rPr>
        <w:t>）</w:t>
      </w:r>
      <w:r>
        <w:rPr>
          <w:rFonts w:hint="eastAsia" w:ascii="Times New Roman" w:hAnsi="Times New Roman" w:eastAsia="黑体" w:cs="黑体"/>
          <w:lang w:val="en-US" w:eastAsia="zh-CN"/>
        </w:rPr>
        <w:t>课程目标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说明：课程目标应充分考虑对培养目标和毕业要求的支撑，要覆盖但不局限于毕业要求对应的指标点。从知识、能力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思维与技能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素质（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价值观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、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课程思政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）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等方面列出。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知识目标、能力目标不一定要分成3点，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数量根据课程实际情况进行增减。要覆盖但不局限于毕业要求对应的指标点。课程目标要使用具体的、可考核的语句分条来描述，如“具有应用……知识的能力”“能够解决……问题”“具备……素质（意识）”等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leftChars="0"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示例：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知识目标：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1.理解混凝土材料和钢筋的物理性能，掌握钢筋混凝土结构共同工作的原理，学会将钢筋混凝土结构的工程问题转化为力学模型，掌握结构设计的基本原则；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FF"/>
          <w:kern w:val="0"/>
          <w:sz w:val="21"/>
          <w:szCs w:val="21"/>
          <w:lang w:val="en-US" w:eastAsia="zh-CN" w:bidi="ar-SA"/>
        </w:rPr>
        <w:t>2.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掌握钢筋混凝土结构构件（拉、压、弯、剪、扭、预应力）的受力性能，能正确运用数学、力学等知识进行基本构件的受力分析及公式的推导；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default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0000FF"/>
          <w:kern w:val="0"/>
          <w:sz w:val="21"/>
          <w:szCs w:val="21"/>
          <w:lang w:val="en-US" w:eastAsia="zh-CN" w:bidi="ar-SA"/>
        </w:rPr>
        <w:t>3.</w:t>
      </w: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了解裂缝宽度和变形、结构构造规定。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能力目标：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1.理解互换性在产品设计中的重要性，培养学生在产品设计时应用互换性原则的能力；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2.具备查阅应用相关国家标准，进行产品精度设计的能力；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3.掌握测量技术的相关概念，具备合理选择通用计量器具，设计专用计量器具，使用计量器具检测机械零部件形状和位置误差，并具有分析测量结果的能力。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素质目标：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1.通过了解……方面的前沿知识或……方面的国内外新技术和发展趋势或……方面的发展历史和现代发展状况，结合国家建设和民族复兴的新时代背景，及时掌握国家相关方面的科技战略需求，树立投身科学研究和技术创新的远大理想；</w:t>
      </w:r>
    </w:p>
    <w:p>
      <w:pPr>
        <w:pStyle w:val="9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Times New Roman" w:hAnsi="Times New Roman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color w:val="0000FF"/>
          <w:sz w:val="21"/>
          <w:szCs w:val="21"/>
          <w:lang w:val="en-US" w:eastAsia="zh-CN"/>
        </w:rPr>
        <w:t>2.增强家国情怀与文化自信，弘扬爱国主义精神，强化责任担当意识，激发建功立业使命感。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 w:leftChars="0"/>
        <w:textAlignment w:val="auto"/>
        <w:outlineLvl w:val="1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（二）</w:t>
      </w:r>
      <w:r>
        <w:rPr>
          <w:rFonts w:hint="eastAsia" w:ascii="Times New Roman" w:hAnsi="Times New Roman" w:eastAsia="黑体" w:cs="黑体"/>
          <w:lang w:eastAsia="zh-CN"/>
        </w:rPr>
        <w:t>课程目标</w:t>
      </w:r>
      <w:r>
        <w:rPr>
          <w:rFonts w:hint="eastAsia" w:ascii="Times New Roman" w:hAnsi="Times New Roman" w:eastAsia="黑体" w:cs="黑体"/>
          <w:lang w:val="en-US" w:eastAsia="zh-CN"/>
        </w:rPr>
        <w:t>与毕业要求的对应关系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说明：H表示强相关，M表示中相关，L表示弱相关，课程目标能</w:t>
      </w: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完全</w:t>
      </w: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支撑毕业要求指标点，则在对应程度那里填“H”；如果“毕业要求”里面描述的一部分内容，够得到你的“课程目标”的支撑，则填“M”；如果“毕业要求”里面描述的小部分内容，能够得到“课程目标”的支撑，则在对应程度那里填“L”；如果某个“毕业要求”里面描述的内容，得不到“课程目标”支撑，则无需填写；根据课程对应的毕业要求自行添加或删减行，没有对应关系的部分应删除相应行；毕业要求具体文字描述根据课程而异，自行添加或删减内容。</w:t>
      </w:r>
    </w:p>
    <w:p>
      <w:pPr>
        <w:pStyle w:val="9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default" w:ascii="宋体" w:hAnsi="宋体" w:eastAsia="宋体" w:cs="宋体"/>
          <w:color w:val="0000FF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示例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：理工科类</w:t>
      </w:r>
    </w:p>
    <w:tbl>
      <w:tblPr>
        <w:tblStyle w:val="12"/>
        <w:tblW w:w="49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1"/>
        <w:gridCol w:w="1306"/>
        <w:gridCol w:w="3431"/>
        <w:gridCol w:w="1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  <w:jc w:val="center"/>
        </w:trPr>
        <w:tc>
          <w:tcPr>
            <w:tcW w:w="1395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课程目标</w:t>
            </w:r>
          </w:p>
        </w:tc>
        <w:tc>
          <w:tcPr>
            <w:tcW w:w="772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毕业要求</w:t>
            </w:r>
          </w:p>
        </w:tc>
        <w:tc>
          <w:tcPr>
            <w:tcW w:w="2028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毕业要求指标点</w:t>
            </w:r>
          </w:p>
        </w:tc>
        <w:tc>
          <w:tcPr>
            <w:tcW w:w="803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关联度关系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3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：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深刻理解互换性的含义，掌握有关公差与配合、几何公差、表面粗糙度的国家标准。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7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1.工程知识</w:t>
            </w:r>
          </w:p>
        </w:tc>
        <w:tc>
          <w:tcPr>
            <w:tcW w:w="20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指标点1.1：系统掌握数学和自然科学知识，掌握逻辑推理的基本技能，通过数据演算，归纳总结相应的逻辑结论，能将这些基础知识用于土木工程专业复杂工程问题的分析、抽象、建模及求解；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指标点1.2：掌握计算机科学与技术的专业基础理论和相关方法，并具有将其应用于工程问题的能力。</w:t>
            </w:r>
          </w:p>
        </w:tc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1" w:hRule="atLeast"/>
          <w:jc w:val="center"/>
        </w:trPr>
        <w:tc>
          <w:tcPr>
            <w:tcW w:w="13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both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能力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:2.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理解互换性在产品设计中的重要性，培养学生在产品设计时应用互换性原则的能力。具备查阅应用相关国家标准，进行产品精度设计的能力。</w:t>
            </w:r>
          </w:p>
        </w:tc>
        <w:tc>
          <w:tcPr>
            <w:tcW w:w="772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2.问题分析</w:t>
            </w:r>
          </w:p>
        </w:tc>
        <w:tc>
          <w:tcPr>
            <w:tcW w:w="2028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both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指标点2.2：能够在他人指导下分析复杂计算机工程问题，寻求计算机领域复杂工程问题的解决方案并进行评估。</w:t>
            </w:r>
          </w:p>
        </w:tc>
        <w:tc>
          <w:tcPr>
            <w:tcW w:w="803" w:type="pc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9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772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2028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803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注：H表示强相关，M表示中相关，L表示弱相关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Times New Roman" w:hAnsi="Times New Roman" w:eastAsia="宋体" w:cs="Times New Roman"/>
          <w:b w:val="0"/>
          <w:bCs w:val="0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示例2：</w:t>
      </w:r>
      <w:r>
        <w:rPr>
          <w:rFonts w:hint="eastAsia" w:cs="宋体"/>
          <w:color w:val="0000FF"/>
          <w:sz w:val="21"/>
          <w:szCs w:val="21"/>
          <w:lang w:val="en-US" w:eastAsia="zh-CN"/>
        </w:rPr>
        <w:t>文史艺</w:t>
      </w:r>
      <w:r>
        <w:rPr>
          <w:rFonts w:hint="eastAsia" w:ascii="宋体" w:hAnsi="宋体" w:eastAsia="宋体" w:cs="宋体"/>
          <w:color w:val="0000FF"/>
          <w:sz w:val="21"/>
          <w:szCs w:val="21"/>
          <w:lang w:val="en-US" w:eastAsia="zh-CN"/>
        </w:rPr>
        <w:t>类</w:t>
      </w:r>
    </w:p>
    <w:tbl>
      <w:tblPr>
        <w:tblStyle w:val="12"/>
        <w:tblW w:w="498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2"/>
        <w:gridCol w:w="1311"/>
        <w:gridCol w:w="3367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1455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课程目标</w:t>
            </w:r>
          </w:p>
        </w:tc>
        <w:tc>
          <w:tcPr>
            <w:tcW w:w="771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</w:t>
            </w:r>
          </w:p>
        </w:tc>
        <w:tc>
          <w:tcPr>
            <w:tcW w:w="1981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毕业要求指标点</w:t>
            </w:r>
          </w:p>
        </w:tc>
        <w:tc>
          <w:tcPr>
            <w:tcW w:w="791" w:type="pct"/>
            <w:vAlign w:val="center"/>
          </w:tcPr>
          <w:p>
            <w:pPr>
              <w:pStyle w:val="24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sz w:val="21"/>
                <w:szCs w:val="24"/>
                <w:lang w:val="en-US" w:eastAsia="zh-CN"/>
              </w:rPr>
            </w:pPr>
            <w:r>
              <w:rPr>
                <w:rFonts w:hint="eastAsia" w:ascii="宋体" w:hAnsi="宋体" w:cs="黑体"/>
                <w:b/>
                <w:sz w:val="21"/>
                <w:szCs w:val="24"/>
                <w:lang w:val="en-US" w:eastAsia="zh-CN"/>
              </w:rPr>
              <w:t>关联度关系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目标1：</w:t>
            </w:r>
          </w:p>
        </w:tc>
        <w:tc>
          <w:tcPr>
            <w:tcW w:w="7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1.知识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198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指标点1.1：</w:t>
            </w:r>
          </w:p>
        </w:tc>
        <w:tc>
          <w:tcPr>
            <w:tcW w:w="79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知识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目标2：</w:t>
            </w:r>
          </w:p>
        </w:tc>
        <w:tc>
          <w:tcPr>
            <w:tcW w:w="7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2.能力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198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指标点2.1：</w:t>
            </w:r>
          </w:p>
        </w:tc>
        <w:tc>
          <w:tcPr>
            <w:tcW w:w="79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4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能力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目标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1</w:t>
            </w: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：</w:t>
            </w:r>
          </w:p>
        </w:tc>
        <w:tc>
          <w:tcPr>
            <w:tcW w:w="7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3.素质</w:t>
            </w:r>
            <w:r>
              <w:rPr>
                <w:rFonts w:hint="eastAsia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要求</w:t>
            </w:r>
          </w:p>
        </w:tc>
        <w:tc>
          <w:tcPr>
            <w:tcW w:w="198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指标点3.1：</w:t>
            </w:r>
          </w:p>
        </w:tc>
        <w:tc>
          <w:tcPr>
            <w:tcW w:w="79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455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default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77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198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left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  <w:tc>
          <w:tcPr>
            <w:tcW w:w="791" w:type="pct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ind w:leftChars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FF"/>
                <w:kern w:val="0"/>
                <w:sz w:val="21"/>
                <w:szCs w:val="24"/>
                <w:lang w:val="en-US" w:eastAsia="zh-CN" w:bidi="ar-SA"/>
              </w:rPr>
              <w:t>...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注：H表示强相关，M表示中相关，L表示弱相关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eastAsia="黑体" w:cs="黑体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1740" w:leftChars="200" w:hanging="1320" w:hangingChars="550"/>
        <w:textAlignment w:val="auto"/>
        <w:outlineLvl w:val="1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三、</w:t>
      </w:r>
      <w:r>
        <w:rPr>
          <w:rFonts w:hint="eastAsia" w:ascii="Times New Roman" w:hAnsi="Times New Roman" w:eastAsia="黑体" w:cs="黑体"/>
        </w:rPr>
        <w:t>教学内容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360" w:lineRule="exact"/>
        <w:ind w:left="53" w:leftChars="25" w:firstLine="533" w:firstLineChars="254"/>
        <w:textAlignment w:val="auto"/>
        <w:outlineLvl w:val="1"/>
        <w:rPr>
          <w:rFonts w:hint="default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说明</w:t>
      </w: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：按照章节列出教学内容、教学的目标及要求、教学重点、教学难点、课程思政融入点；</w:t>
      </w:r>
      <w:r>
        <w:rPr>
          <w:rFonts w:hint="eastAsia"/>
          <w:color w:val="0000FF"/>
          <w:sz w:val="21"/>
          <w:lang w:val="en-US" w:eastAsia="zh-CN"/>
        </w:rPr>
        <w:t>整门课程思政元素至少有3个，若某章节无课程思政目标无可删除。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示例：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（一）污水生物处理的基本概念和生化反应动力学基础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教学内容：1.污水生物处理分类、基本原理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770" w:leftChars="700" w:hanging="300" w:hangingChars="143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2.微生物生长规律和生长环境、反应速率和级数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；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0" w:leftChars="0" w:firstLine="1470" w:firstLineChars="7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3.微生物生长与底物降解动力学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411" w:leftChars="200" w:hanging="991" w:hangingChars="47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目标要求：掌握污水生物处理分类、好氧厌氧生物处理机理、微生物生长规律及华景，了解生化反应动力学基础，掌握微生物增长与底物降解之间的关系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教学重点：微生物增长与底物降解之间的关系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教学难点：好氧厌氧生物处理机理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50" w:leftChars="200" w:hanging="930" w:hangingChars="443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生态文明教育：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将生态文明渗透到课堂教学中，培养学生正确的生态文明观。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二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黑体"/>
          <w:color w:val="000000" w:themeColor="text1"/>
          <w:kern w:val="0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污水水质和污水出路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教学内容：1.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360" w:lineRule="exact"/>
        <w:ind w:left="1770" w:leftChars="700" w:hanging="300" w:hangingChars="143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2.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left="0" w:leftChars="0" w:firstLine="1470" w:firstLineChars="7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3.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left="1411" w:leftChars="200" w:hanging="991" w:hangingChars="472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目标要求：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教学重点：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教学难点：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1350" w:leftChars="200" w:hanging="930" w:hangingChars="443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课程思政：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四、课内实践教学环节（如没有可删除）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int="default"/>
          <w:color w:val="0000FF"/>
          <w:kern w:val="0"/>
          <w:lang w:val="en-US" w:eastAsia="zh-CN"/>
        </w:rPr>
      </w:pPr>
      <w:r>
        <w:rPr>
          <w:rFonts w:hint="eastAsia"/>
          <w:color w:val="0000FF"/>
          <w:kern w:val="0"/>
        </w:rPr>
        <w:t>说明：如果课程包含课内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</w:rPr>
        <w:t>实验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eastAsia="zh-CN"/>
        </w:rPr>
        <w:t>、</w:t>
      </w:r>
      <w:r>
        <w:rPr>
          <w:rFonts w:hint="eastAsia" w:ascii="Times New Roman" w:hAnsi="Times New Roman" w:eastAsia="宋体" w:cs="Times New Roman"/>
          <w:b/>
          <w:bCs/>
          <w:sz w:val="21"/>
          <w:szCs w:val="21"/>
          <w:lang w:val="en-US" w:eastAsia="zh-CN"/>
        </w:rPr>
        <w:t>上机、实践</w:t>
      </w:r>
      <w:r>
        <w:rPr>
          <w:rFonts w:hint="eastAsia"/>
          <w:color w:val="0000FF"/>
          <w:kern w:val="0"/>
          <w:lang w:eastAsia="zh-CN"/>
        </w:rPr>
        <w:t>，</w:t>
      </w:r>
      <w:r>
        <w:rPr>
          <w:rFonts w:hint="eastAsia"/>
          <w:color w:val="0000FF"/>
          <w:kern w:val="0"/>
          <w:lang w:val="en-US" w:eastAsia="zh-CN"/>
        </w:rPr>
        <w:t>则填写本大点，</w:t>
      </w:r>
      <w:r>
        <w:rPr>
          <w:rFonts w:hint="eastAsia"/>
          <w:color w:val="0000FF"/>
          <w:kern w:val="0"/>
        </w:rPr>
        <w:t>如课程无相关实践教学环节，则删除该条</w:t>
      </w:r>
      <w:r>
        <w:rPr>
          <w:rFonts w:hint="eastAsia"/>
          <w:color w:val="0000FF"/>
          <w:kern w:val="0"/>
          <w:lang w:eastAsia="zh-CN"/>
        </w:rPr>
        <w:t>，</w:t>
      </w:r>
      <w:r>
        <w:rPr>
          <w:rFonts w:hint="eastAsia"/>
          <w:color w:val="0000FF"/>
          <w:kern w:val="0"/>
          <w:lang w:val="en-US" w:eastAsia="zh-CN"/>
        </w:rPr>
        <w:t>删除后，注意大点顺序的修改。项目内容请填写类型、内容、要求、方式。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int="default"/>
          <w:color w:val="0000FF"/>
          <w:kern w:val="0"/>
          <w:lang w:val="en-US" w:eastAsia="zh-CN"/>
        </w:rPr>
      </w:pPr>
      <w:r>
        <w:rPr>
          <w:rFonts w:hint="eastAsia"/>
          <w:color w:val="0000FF"/>
          <w:kern w:val="0"/>
          <w:lang w:val="en-US" w:eastAsia="zh-CN"/>
        </w:rPr>
        <w:t>示例：</w:t>
      </w:r>
    </w:p>
    <w:tbl>
      <w:tblPr>
        <w:tblStyle w:val="11"/>
        <w:tblW w:w="833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1160"/>
        <w:gridCol w:w="1292"/>
        <w:gridCol w:w="1542"/>
        <w:gridCol w:w="1145"/>
        <w:gridCol w:w="690"/>
        <w:gridCol w:w="776"/>
        <w:gridCol w:w="107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exact"/>
          <w:jc w:val="center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名称</w:t>
            </w:r>
          </w:p>
        </w:tc>
        <w:tc>
          <w:tcPr>
            <w:tcW w:w="1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项目</w:t>
            </w: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内容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项目要求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eastAsiaTheme="minorEastAsia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项目方法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  <w:lang w:val="en-US" w:eastAsia="zh-CN"/>
              </w:rPr>
              <w:t>类型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学时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cs="Tahoma" w:asciiTheme="minorHAnsi" w:hAnsiTheme="minorHAnsi" w:eastAsiaTheme="minorEastAsia"/>
                <w:b/>
                <w:bCs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Tahoma"/>
                <w:b/>
                <w:bCs/>
                <w:color w:val="000000"/>
                <w:sz w:val="21"/>
                <w:szCs w:val="21"/>
              </w:rPr>
              <w:t>每组人数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0" w:hRule="atLeast"/>
          <w:jc w:val="center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电流继电器和电压继电器特性实验</w:t>
            </w:r>
          </w:p>
        </w:tc>
        <w:tc>
          <w:tcPr>
            <w:tcW w:w="1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hint="default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cs="Tahom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电流继电器动作、返回电流值测试实验</w:t>
            </w:r>
            <w:r>
              <w:rPr>
                <w:rFonts w:hint="eastAsia" w:cs="Tahom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default" w:cs="Tahoma" w:eastAsiaTheme="minor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电压继电器动作、返回电压值测试实验</w:t>
            </w: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了解继电器基本分类、方法及其结构；熟悉常用电流继电器和电压继电器；学会调整，测量电磁型继电器的动作值，返回值和返回系数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讲练结合、分组进行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cs="Tahoma" w:asciiTheme="minorHAnsi" w:hAnsiTheme="minorHAnsi" w:eastAsiaTheme="minorEastAsia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验证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5人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6" w:hRule="atLeast"/>
          <w:jc w:val="center"/>
        </w:trPr>
        <w:tc>
          <w:tcPr>
            <w:tcW w:w="65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DCD—2差动继电器实验</w:t>
            </w:r>
          </w:p>
        </w:tc>
        <w:tc>
          <w:tcPr>
            <w:tcW w:w="12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eastAsia="宋体" w:cs="Tahom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继电器动作安匝测定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差动线圈与平衡线圈极性检查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pStyle w:val="8"/>
              <w:keepNext w:val="0"/>
              <w:keepLines w:val="0"/>
              <w:pageBreakBefore w:val="0"/>
              <w:widowControl w:val="0"/>
              <w:pBdr>
                <w:bottom w:val="none" w:color="auto" w:sz="0" w:space="0"/>
              </w:pBdr>
              <w:tabs>
                <w:tab w:val="left" w:pos="4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pacing w:line="360" w:lineRule="exact"/>
              <w:jc w:val="left"/>
              <w:textAlignment w:val="auto"/>
              <w:rPr>
                <w:rFonts w:cs="Tahoma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了解DCD—2差动继电器结构及各线圈作用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掌握继电器各线圈间极性检查方法及继电器的动作安匝测定方法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了解直流分量对继电器动作特性的影响。</w:t>
            </w:r>
          </w:p>
        </w:tc>
        <w:tc>
          <w:tcPr>
            <w:tcW w:w="11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ahoma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讲练结合、分组进行</w:t>
            </w:r>
          </w:p>
        </w:tc>
        <w:tc>
          <w:tcPr>
            <w:tcW w:w="6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</w:p>
        </w:tc>
        <w:tc>
          <w:tcPr>
            <w:tcW w:w="77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0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3人</w:t>
            </w:r>
          </w:p>
        </w:tc>
      </w:tr>
    </w:tbl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五、</w:t>
      </w:r>
      <w:r>
        <w:rPr>
          <w:rFonts w:hint="eastAsia" w:ascii="Times New Roman" w:hAnsi="Times New Roman" w:eastAsia="黑体" w:cs="黑体"/>
        </w:rPr>
        <w:t>学时</w:t>
      </w:r>
      <w:r>
        <w:rPr>
          <w:rFonts w:ascii="Times New Roman" w:hAnsi="Times New Roman" w:eastAsia="黑体" w:cs="黑体"/>
        </w:rPr>
        <w:t>分配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586" w:leftChars="279" w:firstLine="0" w:firstLineChars="0"/>
        <w:textAlignment w:val="auto"/>
        <w:outlineLvl w:val="1"/>
        <w:rPr>
          <w:rFonts w:hint="default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0000FF"/>
          <w:kern w:val="0"/>
          <w:sz w:val="21"/>
          <w:szCs w:val="24"/>
          <w:lang w:val="en-US" w:eastAsia="zh-CN" w:bidi="ar-SA"/>
        </w:rPr>
        <w:t>说明</w:t>
      </w: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：根据第三点的教学内容制定出科学的学时分配、教学方式。教学方式要与教学目标统一起来，介绍课堂教学中的使用的方法及其目的。教学方式</w:t>
      </w:r>
      <w:r>
        <w:rPr>
          <w:rFonts w:hint="eastAsia" w:cs="黑体"/>
          <w:color w:val="0000FF"/>
          <w:sz w:val="21"/>
          <w:szCs w:val="21"/>
          <w:lang w:eastAsia="zh-CN"/>
        </w:rPr>
        <w:t>课堂讲授、学生在线自学、</w:t>
      </w:r>
      <w:r>
        <w:rPr>
          <w:rFonts w:hint="eastAsia" w:cs="黑体"/>
          <w:color w:val="0000FF"/>
          <w:sz w:val="21"/>
          <w:szCs w:val="21"/>
          <w:lang w:val="en-US" w:eastAsia="zh-CN"/>
        </w:rPr>
        <w:t>调研、小组讨论</w:t>
      </w:r>
      <w:r>
        <w:rPr>
          <w:rFonts w:hint="eastAsia" w:cs="宋体"/>
          <w:color w:val="0000FF"/>
          <w:kern w:val="0"/>
          <w:sz w:val="21"/>
          <w:szCs w:val="24"/>
          <w:lang w:val="en-US" w:eastAsia="zh-CN" w:bidi="ar-SA"/>
        </w:rPr>
        <w:t>、翻转课堂、讨论、角色扮演、虚拟仿真等。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420" w:firstLineChars="200"/>
        <w:textAlignment w:val="auto"/>
        <w:rPr>
          <w:rFonts w:hint="eastAsia"/>
          <w:color w:val="0000FF"/>
          <w:sz w:val="21"/>
          <w:lang w:val="en-US" w:eastAsia="zh-CN"/>
        </w:rPr>
      </w:pPr>
      <w:r>
        <w:rPr>
          <w:rFonts w:hint="eastAsia"/>
          <w:color w:val="0000FF"/>
          <w:sz w:val="21"/>
          <w:lang w:val="en-US" w:eastAsia="zh-CN"/>
        </w:rPr>
        <w:t>示例：</w:t>
      </w:r>
    </w:p>
    <w:tbl>
      <w:tblPr>
        <w:tblStyle w:val="11"/>
        <w:tblW w:w="8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"/>
        <w:gridCol w:w="2137"/>
        <w:gridCol w:w="656"/>
        <w:gridCol w:w="1107"/>
        <w:gridCol w:w="1106"/>
        <w:gridCol w:w="797"/>
        <w:gridCol w:w="1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  <w:tblHeader/>
        </w:trPr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目次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内容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讲授学时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教学方式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实验或实践学时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总学时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污水水质和污水出路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污水的物理处理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（三）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污水生物处理的基本概念和生化反应动力 学基础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学生在线自学、课堂讲授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（四）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活性污泥法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学生在线自学、课堂讲授、</w:t>
            </w:r>
            <w:r>
              <w:rPr>
                <w:rFonts w:hint="eastAsia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五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生物膜法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六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稳定塘和污水的土地处理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（七）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污水的厌氧生物处理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（八）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污水的化学与物理化学处理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调研、</w:t>
            </w: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（九）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城市污水回用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调研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（十）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污泥的处理与处置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（十一）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污水处理厂设计</w:t>
            </w: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课堂讲授</w:t>
            </w: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999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137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49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06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797" w:type="dxa"/>
            <w:shd w:val="clear" w:color="auto" w:fill="auto"/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56</w:t>
            </w:r>
          </w:p>
        </w:tc>
        <w:tc>
          <w:tcPr>
            <w:tcW w:w="161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hint="eastAsia"/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80" w:firstLineChars="200"/>
        <w:textAlignment w:val="auto"/>
        <w:outlineLvl w:val="1"/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六、</w:t>
      </w:r>
      <w:bookmarkStart w:id="0" w:name="_GoBack"/>
      <w:r>
        <w:rPr>
          <w:rFonts w:hint="eastAsia" w:ascii="Times New Roman" w:hAnsi="Times New Roman" w:eastAsia="黑体" w:cs="黑体"/>
          <w:kern w:val="0"/>
          <w:sz w:val="24"/>
          <w:szCs w:val="24"/>
          <w:lang w:val="en-US" w:eastAsia="zh-CN" w:bidi="ar-SA"/>
        </w:rPr>
        <w:t>考核方式及要求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说明：由教研室和课程组根据课程类型、课程性质、课程内容及特点，确定适合的考核内容、考核方式及成绩评定。考核内容重点考核学生获取知识的能力、应用所学知识分析问题和解决问题能力、实践动手能力和创新能力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成绩构成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：平时成绩、课内实践环节成绩（实验成绩、实践成绩、上机成绩）、期末考核等构成；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考核方式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：笔试、口试、答辩、课堂测验、论文、课堂表现、课堂讨论、平时测试、作业测评、课外阅读、社会实践、期末技能考核、作品、课堂实训、社会调查、竞赛等；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成绩评定加大过程考核及阶段性考核成绩比例（原则上在</w:t>
      </w:r>
      <w:r>
        <w:rPr>
          <w:rFonts w:hint="eastAsia" w:ascii="宋体" w:hAnsi="宋体" w:eastAsia="宋体" w:cs="黑体"/>
          <w:b/>
          <w:bCs/>
          <w:color w:val="0000FF"/>
          <w:kern w:val="0"/>
          <w:sz w:val="21"/>
          <w:szCs w:val="21"/>
          <w:lang w:val="en-US" w:eastAsia="zh-CN" w:bidi="ar-SA"/>
        </w:rPr>
        <w:t>40%~60%</w:t>
      </w:r>
      <w:r>
        <w:rPr>
          <w:rFonts w:hint="eastAsia" w:ascii="宋体" w:hAnsi="宋体" w:eastAsia="宋体" w:cs="黑体"/>
          <w:color w:val="0000FF"/>
          <w:kern w:val="0"/>
          <w:sz w:val="21"/>
          <w:szCs w:val="21"/>
          <w:lang w:val="en-US" w:eastAsia="zh-CN" w:bidi="ar-SA"/>
        </w:rPr>
        <w:t>），减少期末成绩的占分比例。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0" w:firstLineChars="200"/>
        <w:textAlignment w:val="auto"/>
        <w:rPr>
          <w:rFonts w:hint="eastAsia"/>
          <w:color w:val="000000" w:themeColor="text1"/>
          <w:kern w:val="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kern w:val="0"/>
          <w:u w:val="none"/>
          <w:lang w:val="en-US" w:eastAsia="zh-CN"/>
          <w14:textFill>
            <w14:solidFill>
              <w14:schemeClr w14:val="tx1"/>
            </w14:solidFill>
          </w14:textFill>
        </w:rPr>
        <w:t>示例：本课程的成绩构成分为平时成绩（40%）和期末成绩（60%）两部分。平时成绩的考核方式包括有课堂表现、课后习题及报告、课堂测验；期末成绩的考核方式为期末笔试。两者结合评定综合成绩折算为课程最终成绩。具体考核评价如下：</w:t>
      </w:r>
    </w:p>
    <w:tbl>
      <w:tblPr>
        <w:tblStyle w:val="11"/>
        <w:tblW w:w="85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750"/>
        <w:gridCol w:w="2386"/>
        <w:gridCol w:w="2120"/>
        <w:gridCol w:w="1037"/>
        <w:gridCol w:w="149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tblHeader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default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成绩构成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重点考察内容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评价标准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比重（%）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pStyle w:val="2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黑体"/>
                <w:b/>
                <w:color w:val="000000" w:themeColor="text1"/>
                <w:sz w:val="21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对应课程目标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</w:trPr>
        <w:tc>
          <w:tcPr>
            <w:tcW w:w="74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平时成绩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课堂表现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主要考察学生课堂出勤率以及课堂学生PPT陈述、提问、回答等表现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依据课堂出勤记录和课堂讨论及提问的参与度，按100分制评分，取平均值乘以其在总评成绩中所占的比例（10%）计入课程总评成绩。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2" w:hRule="atLeast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课后习题及报告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主要考核学生对章节基础知识点的复习、理解和掌握程度，及相关知识点的应用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依据作业完整度、准确率， 课程报告 的思路、内容完整度、准确度，按100 分制评分， 乘以其在总评成绩中所占的比例（20%）计入课程总评成绩。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20%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1" w:hRule="atLeast"/>
        </w:trPr>
        <w:tc>
          <w:tcPr>
            <w:tcW w:w="74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课堂测验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主要考核学生对章节基础知识点的复习、理解和掌握程度，及相关知识点的应用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依据学生课堂测验的成绩，每次课堂测验按100分制单独评分，取平均值乘以其在总评成绩中所占的比例（10%）计入课程总评成绩。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10%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9" w:hRule="atLeast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期末成绩</w:t>
            </w: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期末考试</w:t>
            </w:r>
          </w:p>
        </w:tc>
        <w:tc>
          <w:tcPr>
            <w:tcW w:w="2386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重点考察学生对基本概念、方法和原理的掌握程度；对污水处理技术及工艺原理、特征及影响因素的理解；综合运用基本方法解决问题的能力。</w:t>
            </w:r>
          </w:p>
        </w:tc>
        <w:tc>
          <w:tcPr>
            <w:tcW w:w="212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（1）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主要题型有名词解释、选择题、简答题、计算题和综合分析题等，其中基础知识题约占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%、能力题约占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%。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（2）卷面成绩 100 分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lef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（3）以卷面成绩乘以其在总评成绩中所占的比例（60%）计入课程总评成绩。</w:t>
            </w: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60%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知识目标1/2/3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能力目标1/2/3</w:t>
            </w:r>
          </w:p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jc w:val="center"/>
              <w:textAlignment w:val="auto"/>
              <w:rPr>
                <w:rFonts w:hint="default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黑体"/>
                <w:color w:val="000000" w:themeColor="text1"/>
                <w:kern w:val="0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素质目标1/2/3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744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50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小计</w:t>
            </w:r>
          </w:p>
        </w:tc>
        <w:tc>
          <w:tcPr>
            <w:tcW w:w="450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7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499" w:type="dxa"/>
            <w:tcBorders>
              <w:tl2br w:val="nil"/>
              <w:tr2bl w:val="nil"/>
            </w:tcBorders>
            <w:vAlign w:val="center"/>
          </w:tcPr>
          <w:p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360" w:lineRule="exact"/>
              <w:textAlignment w:val="auto"/>
              <w:rPr>
                <w:rFonts w:hint="eastAsia" w:ascii="Times New Roman" w:hAnsi="Times New Roman" w:cs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黑体"/>
          <w:lang w:val="en-US" w:eastAsia="zh-CN"/>
        </w:rPr>
        <w:t>七</w:t>
      </w:r>
      <w:r>
        <w:rPr>
          <w:rFonts w:hint="eastAsia" w:ascii="Times New Roman" w:hAnsi="Times New Roman" w:eastAsia="黑体" w:cs="黑体"/>
        </w:rPr>
        <w:t>、教学实施建议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  <w:kern w:val="0"/>
        </w:rPr>
      </w:pPr>
      <w:r>
        <w:rPr>
          <w:rFonts w:hint="eastAsia" w:cs="宋体"/>
          <w:color w:val="0000FF"/>
        </w:rPr>
        <w:t>说明：基于学生中心（SC）、产出导向（OBE）理念，简述该课程教学活动所运用的主要教学手段和方法，</w:t>
      </w:r>
      <w:r>
        <w:rPr>
          <w:rFonts w:hint="eastAsia" w:cs="宋体"/>
          <w:color w:val="0000FF"/>
          <w:kern w:val="0"/>
        </w:rPr>
        <w:t>教学方法应对以下内容清晰描述：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color w:val="0000FF"/>
          <w:kern w:val="0"/>
        </w:rPr>
      </w:pPr>
      <w:r>
        <w:rPr>
          <w:rFonts w:hint="eastAsia" w:cs="宋体"/>
          <w:color w:val="0000FF"/>
          <w:kern w:val="0"/>
        </w:rPr>
        <w:t>1</w:t>
      </w:r>
      <w:r>
        <w:rPr>
          <w:rFonts w:hint="eastAsia" w:cs="宋体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根据课程教学设计说明课外学习建议时数、在线自主学习建议时数。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/>
          <w:color w:val="0000FF"/>
          <w:kern w:val="0"/>
        </w:rPr>
      </w:pPr>
      <w:r>
        <w:rPr>
          <w:rFonts w:hint="eastAsia"/>
          <w:color w:val="0000FF"/>
          <w:kern w:val="0"/>
        </w:rPr>
        <w:t>2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采用哪些教学方法？是</w:t>
      </w:r>
      <w:r>
        <w:rPr>
          <w:rFonts w:cs="宋体"/>
          <w:color w:val="0000FF"/>
          <w:kern w:val="0"/>
        </w:rPr>
        <w:t>否线上线</w:t>
      </w:r>
      <w:r>
        <w:rPr>
          <w:rFonts w:hint="eastAsia" w:cs="宋体"/>
          <w:color w:val="0000FF"/>
          <w:kern w:val="0"/>
        </w:rPr>
        <w:t>下</w:t>
      </w:r>
      <w:r>
        <w:rPr>
          <w:rFonts w:cs="宋体"/>
          <w:color w:val="0000FF"/>
          <w:kern w:val="0"/>
        </w:rPr>
        <w:t>混合教学</w:t>
      </w:r>
      <w:r>
        <w:rPr>
          <w:rFonts w:hint="eastAsia" w:cs="宋体"/>
          <w:color w:val="0000FF"/>
          <w:kern w:val="0"/>
        </w:rPr>
        <w:t>等</w:t>
      </w:r>
      <w:r>
        <w:rPr>
          <w:rFonts w:cs="宋体"/>
          <w:color w:val="0000FF"/>
          <w:kern w:val="0"/>
        </w:rPr>
        <w:t>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/>
          <w:color w:val="0000FF"/>
          <w:kern w:val="0"/>
        </w:rPr>
      </w:pPr>
      <w:r>
        <w:rPr>
          <w:rFonts w:hint="eastAsia"/>
          <w:color w:val="0000FF"/>
          <w:kern w:val="0"/>
        </w:rPr>
        <w:t>3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  <w:kern w:val="0"/>
        </w:rPr>
        <w:t>如何组织？运用哪些教学手段？运</w:t>
      </w:r>
      <w:r>
        <w:rPr>
          <w:rFonts w:cs="宋体"/>
          <w:color w:val="0000FF"/>
          <w:kern w:val="0"/>
        </w:rPr>
        <w:t>用哪些</w:t>
      </w:r>
      <w:r>
        <w:rPr>
          <w:rFonts w:hint="eastAsia" w:cs="宋体"/>
          <w:color w:val="0000FF"/>
          <w:kern w:val="0"/>
        </w:rPr>
        <w:t>教</w:t>
      </w:r>
      <w:r>
        <w:rPr>
          <w:rFonts w:cs="宋体"/>
          <w:color w:val="0000FF"/>
          <w:kern w:val="0"/>
        </w:rPr>
        <w:t>学</w:t>
      </w:r>
      <w:r>
        <w:rPr>
          <w:rFonts w:hint="eastAsia" w:cs="宋体"/>
          <w:color w:val="0000FF"/>
          <w:kern w:val="0"/>
        </w:rPr>
        <w:t>平台</w:t>
      </w:r>
      <w:r>
        <w:rPr>
          <w:rFonts w:cs="宋体"/>
          <w:color w:val="0000FF"/>
          <w:kern w:val="0"/>
        </w:rPr>
        <w:t>软件（如学习通</w:t>
      </w:r>
      <w:r>
        <w:rPr>
          <w:rFonts w:hint="eastAsia" w:cs="宋体"/>
          <w:color w:val="0000FF"/>
          <w:kern w:val="0"/>
        </w:rPr>
        <w:t>、</w:t>
      </w:r>
      <w:r>
        <w:rPr>
          <w:rFonts w:cs="宋体"/>
          <w:color w:val="0000FF"/>
          <w:kern w:val="0"/>
        </w:rPr>
        <w:t>雨课堂</w:t>
      </w:r>
      <w:r>
        <w:rPr>
          <w:rFonts w:hint="eastAsia" w:cs="宋体"/>
          <w:color w:val="0000FF"/>
          <w:kern w:val="0"/>
        </w:rPr>
        <w:t>、</w:t>
      </w:r>
      <w:r>
        <w:rPr>
          <w:rFonts w:cs="宋体"/>
          <w:color w:val="0000FF"/>
          <w:kern w:val="0"/>
        </w:rPr>
        <w:t>慕课</w:t>
      </w:r>
      <w:r>
        <w:rPr>
          <w:rFonts w:hint="eastAsia" w:cs="宋体"/>
          <w:color w:val="0000FF"/>
          <w:kern w:val="0"/>
        </w:rPr>
        <w:t>堂</w:t>
      </w:r>
      <w:r>
        <w:rPr>
          <w:rFonts w:cs="宋体"/>
          <w:color w:val="0000FF"/>
          <w:kern w:val="0"/>
        </w:rPr>
        <w:t>等）？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hAnsi="宋体" w:cs="宋体"/>
          <w:color w:val="0000FF"/>
          <w:kern w:val="0"/>
        </w:rPr>
      </w:pPr>
      <w:r>
        <w:rPr>
          <w:rFonts w:hint="eastAsia"/>
          <w:color w:val="0000FF"/>
          <w:kern w:val="0"/>
        </w:rPr>
        <w:t>4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hAnsi="宋体" w:cs="宋体"/>
          <w:color w:val="0000FF"/>
          <w:kern w:val="0"/>
        </w:rPr>
        <w:t>如何理论联系实际培养学生各方面的能力？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exact"/>
        <w:jc w:val="left"/>
        <w:textAlignment w:val="auto"/>
      </w:pPr>
      <w:r>
        <w:rPr>
          <w:rFonts w:hint="eastAsia"/>
          <w:color w:val="0000FF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ascii="Times New Roman" w:hAnsi="Times New Roman" w:eastAsia="黑体" w:cs="Times New Roman"/>
        </w:rPr>
      </w:pPr>
      <w:r>
        <w:rPr>
          <w:rFonts w:hint="eastAsia" w:ascii="Times New Roman" w:hAnsi="Times New Roman" w:eastAsia="黑体" w:cs="Times New Roman"/>
          <w:lang w:val="en-US" w:eastAsia="zh-CN"/>
        </w:rPr>
        <w:t>八</w:t>
      </w:r>
      <w:r>
        <w:rPr>
          <w:rFonts w:hint="eastAsia" w:ascii="Times New Roman" w:hAnsi="Times New Roman" w:eastAsia="黑体" w:cs="Times New Roman"/>
        </w:rPr>
        <w:t>、推荐教材与参考资料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推荐教材：《</w:t>
      </w:r>
      <w:r>
        <w:rPr>
          <w:rFonts w:ascii="Times New Roman" w:hAnsi="Times New Roman" w:cs="Times New Roman"/>
          <w:sz w:val="21"/>
          <w:szCs w:val="21"/>
        </w:rPr>
        <w:t xml:space="preserve">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参考书目与文献：《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2100" w:firstLineChars="1000"/>
        <w:textAlignment w:val="auto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《</w:t>
      </w:r>
      <w:r>
        <w:rPr>
          <w:rFonts w:ascii="Times New Roman" w:hAnsi="Times New Roman" w:cs="Times New Roman"/>
          <w:sz w:val="21"/>
          <w:szCs w:val="21"/>
        </w:rPr>
        <w:t xml:space="preserve">    </w:t>
      </w:r>
      <w:r>
        <w:rPr>
          <w:rFonts w:hint="eastAsia" w:ascii="Times New Roman" w:hAnsi="Times New Roman"/>
          <w:sz w:val="21"/>
          <w:szCs w:val="21"/>
        </w:rPr>
        <w:t>》，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编著，</w:t>
      </w:r>
      <w:r>
        <w:rPr>
          <w:rFonts w:hint="eastAsia"/>
          <w:sz w:val="21"/>
          <w:szCs w:val="21"/>
        </w:rPr>
        <w:t>ⅹⅹ</w:t>
      </w:r>
      <w:r>
        <w:rPr>
          <w:rFonts w:hint="eastAsia" w:ascii="Times New Roman" w:hAnsi="Times New Roman"/>
          <w:sz w:val="21"/>
          <w:szCs w:val="21"/>
        </w:rPr>
        <w:t>出版社，年。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sz w:val="21"/>
          <w:szCs w:val="21"/>
        </w:rPr>
      </w:pPr>
      <w:r>
        <w:rPr>
          <w:rFonts w:hint="eastAsia" w:ascii="Times New Roman" w:hAnsi="Times New Roman"/>
          <w:sz w:val="21"/>
          <w:szCs w:val="21"/>
        </w:rPr>
        <w:t>课程相关主要网站：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注：1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“马工程教材”覆盖课程必须选择对应教材。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hint="eastAsia" w:ascii="Times New Roman" w:hAnsi="Times New Roman"/>
          <w:color w:val="0000FF"/>
          <w:sz w:val="21"/>
          <w:szCs w:val="21"/>
        </w:rPr>
        <w:t>2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cs="黑体"/>
          <w:color w:val="0000FF"/>
          <w:sz w:val="21"/>
          <w:szCs w:val="21"/>
        </w:rPr>
        <w:t>优先</w:t>
      </w:r>
      <w:r>
        <w:rPr>
          <w:rFonts w:hint="eastAsia" w:ascii="Times New Roman" w:hAnsi="Times New Roman"/>
          <w:color w:val="0000FF"/>
          <w:sz w:val="21"/>
          <w:szCs w:val="21"/>
        </w:rPr>
        <w:t>推荐近年出版的国家、行业优秀教材、规划教材。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3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推荐与课程教学相关的优质专业书籍，以及专业文献资料、数字化资源等专业网站。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360" w:lineRule="exact"/>
        <w:ind w:firstLine="840" w:firstLineChars="400"/>
        <w:textAlignment w:val="auto"/>
        <w:rPr>
          <w:rFonts w:ascii="Times New Roman" w:hAnsi="Times New Roman"/>
          <w:color w:val="0000FF"/>
          <w:sz w:val="21"/>
          <w:szCs w:val="21"/>
        </w:rPr>
      </w:pPr>
      <w:r>
        <w:rPr>
          <w:rFonts w:ascii="Times New Roman" w:hAnsi="Times New Roman"/>
          <w:color w:val="0000FF"/>
          <w:sz w:val="21"/>
          <w:szCs w:val="21"/>
        </w:rPr>
        <w:t>4</w:t>
      </w:r>
      <w:r>
        <w:rPr>
          <w:rFonts w:hint="eastAsia" w:ascii="Times New Roman" w:hAnsi="Times New Roman"/>
          <w:color w:val="0000FF"/>
          <w:sz w:val="21"/>
          <w:szCs w:val="21"/>
          <w:lang w:val="en-US" w:eastAsia="zh-CN"/>
        </w:rPr>
        <w:t>.</w:t>
      </w:r>
      <w:r>
        <w:rPr>
          <w:rFonts w:hint="eastAsia" w:ascii="Times New Roman" w:hAnsi="Times New Roman"/>
          <w:color w:val="0000FF"/>
          <w:sz w:val="21"/>
          <w:szCs w:val="21"/>
        </w:rPr>
        <w:t>专业选修课程、前沿课程、项目化课程等特殊课程，“推荐教材”可据实填“无”、“讲稿”、“自编讲义”等。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rFonts w:ascii="Times New Roman" w:hAnsi="Times New Roman" w:cs="Times New Roman"/>
        </w:rPr>
      </w:pPr>
      <w:r>
        <w:rPr>
          <w:rFonts w:hint="eastAsia"/>
          <w:color w:val="0000FF"/>
          <w:sz w:val="21"/>
        </w:rPr>
        <w:t>（空一行）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left="420"/>
        <w:textAlignment w:val="auto"/>
        <w:outlineLvl w:val="1"/>
        <w:rPr>
          <w:rFonts w:eastAsia="黑体"/>
        </w:rPr>
      </w:pPr>
      <w:r>
        <w:rPr>
          <w:rFonts w:hint="eastAsia" w:eastAsia="黑体" w:cs="黑体"/>
          <w:lang w:val="en-US" w:eastAsia="zh-CN"/>
        </w:rPr>
        <w:t>九</w:t>
      </w:r>
      <w:r>
        <w:rPr>
          <w:rFonts w:hint="eastAsia" w:eastAsia="黑体" w:cs="黑体"/>
        </w:rPr>
        <w:t>、其他说明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color w:val="0000FF"/>
          <w:kern w:val="0"/>
        </w:rPr>
      </w:pPr>
      <w:r>
        <w:rPr>
          <w:rFonts w:hint="eastAsia"/>
          <w:color w:val="0000FF"/>
          <w:kern w:val="0"/>
        </w:rPr>
        <w:t>说明：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  <w:r>
        <w:rPr>
          <w:color w:val="0000FF"/>
          <w:kern w:val="0"/>
        </w:rPr>
        <w:t>1</w:t>
      </w:r>
      <w:r>
        <w:rPr>
          <w:rFonts w:hint="eastAsia"/>
          <w:color w:val="0000FF"/>
          <w:kern w:val="0"/>
          <w:lang w:val="en-US" w:eastAsia="zh-CN"/>
        </w:rPr>
        <w:t>.</w:t>
      </w:r>
      <w:r>
        <w:rPr>
          <w:rFonts w:hint="eastAsia" w:cs="宋体"/>
          <w:color w:val="0000FF"/>
        </w:rPr>
        <w:t>课程教学特殊要求、课外学习建议；大纲包含的附件等情况。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82"/>
        <w:textAlignment w:val="auto"/>
        <w:rPr>
          <w:rFonts w:cs="宋体"/>
          <w:color w:val="0000FF"/>
        </w:rPr>
      </w:pPr>
      <w:r>
        <w:rPr>
          <w:rFonts w:cs="宋体"/>
          <w:color w:val="0000FF"/>
        </w:rPr>
        <w:t>2</w:t>
      </w:r>
      <w:r>
        <w:rPr>
          <w:rFonts w:hint="eastAsia" w:cs="宋体"/>
          <w:color w:val="0000FF"/>
          <w:lang w:val="en-US" w:eastAsia="zh-CN"/>
        </w:rPr>
        <w:t>.</w:t>
      </w:r>
      <w:r>
        <w:rPr>
          <w:rFonts w:hint="eastAsia" w:cs="宋体"/>
          <w:color w:val="0000FF"/>
        </w:rPr>
        <w:t>如</w:t>
      </w:r>
      <w:r>
        <w:rPr>
          <w:rFonts w:hint="eastAsia"/>
          <w:color w:val="0000FF"/>
        </w:rPr>
        <w:t>无说明，则删除该条</w:t>
      </w:r>
      <w:r>
        <w:rPr>
          <w:rFonts w:hint="eastAsia" w:cs="宋体"/>
          <w:color w:val="0000FF"/>
        </w:rPr>
        <w:t>。</w:t>
      </w:r>
    </w:p>
    <w:p>
      <w:pPr>
        <w:pStyle w:val="9"/>
        <w:keepNext w:val="0"/>
        <w:keepLines w:val="0"/>
        <w:pageBreakBefore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360" w:lineRule="exact"/>
        <w:ind w:firstLine="420" w:firstLineChars="200"/>
        <w:jc w:val="both"/>
        <w:textAlignment w:val="auto"/>
        <w:rPr>
          <w:color w:val="0000FF"/>
          <w:sz w:val="21"/>
        </w:rPr>
      </w:pPr>
      <w:r>
        <w:rPr>
          <w:rFonts w:hint="eastAsia"/>
          <w:color w:val="0000FF"/>
          <w:sz w:val="21"/>
        </w:rPr>
        <w:t>（空</w:t>
      </w:r>
      <w:r>
        <w:rPr>
          <w:rFonts w:hint="eastAsia"/>
          <w:color w:val="0000FF"/>
          <w:sz w:val="21"/>
          <w:lang w:val="en-US" w:eastAsia="zh-CN"/>
        </w:rPr>
        <w:t>两</w:t>
      </w:r>
      <w:r>
        <w:rPr>
          <w:rFonts w:hint="eastAsia"/>
          <w:color w:val="0000FF"/>
          <w:sz w:val="21"/>
        </w:rPr>
        <w:t>行）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/>
          <w:color w:val="FF000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540"/>
        <w:jc w:val="center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大纲制定者：                      大纲审定者：</w:t>
      </w: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p>
      <w:pPr>
        <w:keepNext w:val="0"/>
        <w:keepLines w:val="0"/>
        <w:pageBreakBefore w:val="0"/>
        <w:widowControl/>
        <w:tabs>
          <w:tab w:val="left" w:pos="4680"/>
        </w:tabs>
        <w:kinsoku/>
        <w:wordWrap/>
        <w:overflowPunct/>
        <w:topLinePunct w:val="0"/>
        <w:autoSpaceDE/>
        <w:autoSpaceDN/>
        <w:bidi w:val="0"/>
        <w:snapToGrid w:val="0"/>
        <w:spacing w:line="360" w:lineRule="exact"/>
        <w:jc w:val="left"/>
        <w:textAlignment w:val="auto"/>
        <w:rPr>
          <w:rFonts w:ascii="宋体" w:hAnsi="宋体" w:cs="宋体"/>
          <w:bCs/>
          <w:color w:val="000000"/>
          <w:sz w:val="24"/>
          <w:szCs w:val="28"/>
        </w:rPr>
      </w:pPr>
    </w:p>
    <w:sectPr>
      <w:pgSz w:w="11906" w:h="16838"/>
      <w:pgMar w:top="1440" w:right="1800" w:bottom="1276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ODEzMzg5ZmUyMDJlYzgxYzA3MTk5NTYwYzA2ODAifQ=="/>
  </w:docVars>
  <w:rsids>
    <w:rsidRoot w:val="000243DC"/>
    <w:rsid w:val="00003C9B"/>
    <w:rsid w:val="00013E75"/>
    <w:rsid w:val="00021CC0"/>
    <w:rsid w:val="000243DC"/>
    <w:rsid w:val="00044401"/>
    <w:rsid w:val="0005225F"/>
    <w:rsid w:val="000522AB"/>
    <w:rsid w:val="000556B0"/>
    <w:rsid w:val="000857C8"/>
    <w:rsid w:val="000A3EF9"/>
    <w:rsid w:val="000B5EE3"/>
    <w:rsid w:val="00105518"/>
    <w:rsid w:val="00117896"/>
    <w:rsid w:val="001266E2"/>
    <w:rsid w:val="0015203C"/>
    <w:rsid w:val="001814F4"/>
    <w:rsid w:val="00181D04"/>
    <w:rsid w:val="001C7B70"/>
    <w:rsid w:val="001D27F6"/>
    <w:rsid w:val="001E2E02"/>
    <w:rsid w:val="001F347B"/>
    <w:rsid w:val="00215F07"/>
    <w:rsid w:val="00222998"/>
    <w:rsid w:val="002350C5"/>
    <w:rsid w:val="002435B1"/>
    <w:rsid w:val="002523E0"/>
    <w:rsid w:val="002722EA"/>
    <w:rsid w:val="002802C5"/>
    <w:rsid w:val="00285121"/>
    <w:rsid w:val="002A3851"/>
    <w:rsid w:val="002B6178"/>
    <w:rsid w:val="002D1B9F"/>
    <w:rsid w:val="003022EE"/>
    <w:rsid w:val="00307BE9"/>
    <w:rsid w:val="00315377"/>
    <w:rsid w:val="00330EB5"/>
    <w:rsid w:val="00336CE0"/>
    <w:rsid w:val="00340A33"/>
    <w:rsid w:val="00343E8E"/>
    <w:rsid w:val="003566B8"/>
    <w:rsid w:val="00375CEF"/>
    <w:rsid w:val="00390611"/>
    <w:rsid w:val="003A1E81"/>
    <w:rsid w:val="003A6856"/>
    <w:rsid w:val="003B4AE6"/>
    <w:rsid w:val="003D4A86"/>
    <w:rsid w:val="003E2D9A"/>
    <w:rsid w:val="003E5680"/>
    <w:rsid w:val="00400CBA"/>
    <w:rsid w:val="004035B6"/>
    <w:rsid w:val="004158C7"/>
    <w:rsid w:val="00464CF5"/>
    <w:rsid w:val="004806B1"/>
    <w:rsid w:val="0049633F"/>
    <w:rsid w:val="004C139D"/>
    <w:rsid w:val="0051283C"/>
    <w:rsid w:val="0054478B"/>
    <w:rsid w:val="00570B7B"/>
    <w:rsid w:val="00577975"/>
    <w:rsid w:val="00582315"/>
    <w:rsid w:val="0058563B"/>
    <w:rsid w:val="00597D17"/>
    <w:rsid w:val="005B215E"/>
    <w:rsid w:val="005C196F"/>
    <w:rsid w:val="005E4EAD"/>
    <w:rsid w:val="005E6DFF"/>
    <w:rsid w:val="006046BB"/>
    <w:rsid w:val="00604B43"/>
    <w:rsid w:val="00622251"/>
    <w:rsid w:val="006361D6"/>
    <w:rsid w:val="00661BD2"/>
    <w:rsid w:val="006822D7"/>
    <w:rsid w:val="006A20FC"/>
    <w:rsid w:val="006A5B8B"/>
    <w:rsid w:val="006A6FD9"/>
    <w:rsid w:val="006A7F18"/>
    <w:rsid w:val="006D103C"/>
    <w:rsid w:val="006D6980"/>
    <w:rsid w:val="006E5D8A"/>
    <w:rsid w:val="007026E9"/>
    <w:rsid w:val="00703EFC"/>
    <w:rsid w:val="00787E34"/>
    <w:rsid w:val="007977EB"/>
    <w:rsid w:val="007B6140"/>
    <w:rsid w:val="007C5A84"/>
    <w:rsid w:val="007C7BBC"/>
    <w:rsid w:val="007E5EFD"/>
    <w:rsid w:val="007F04F9"/>
    <w:rsid w:val="007F3FB6"/>
    <w:rsid w:val="0080095D"/>
    <w:rsid w:val="0080749F"/>
    <w:rsid w:val="00816EC7"/>
    <w:rsid w:val="008238A6"/>
    <w:rsid w:val="00850474"/>
    <w:rsid w:val="008557AE"/>
    <w:rsid w:val="00892BA9"/>
    <w:rsid w:val="008A6DF7"/>
    <w:rsid w:val="008B30E2"/>
    <w:rsid w:val="008D7D77"/>
    <w:rsid w:val="008E67A3"/>
    <w:rsid w:val="008F2728"/>
    <w:rsid w:val="008F347F"/>
    <w:rsid w:val="008F56F8"/>
    <w:rsid w:val="0091107D"/>
    <w:rsid w:val="00922712"/>
    <w:rsid w:val="009353EC"/>
    <w:rsid w:val="009457B9"/>
    <w:rsid w:val="00952496"/>
    <w:rsid w:val="009561CA"/>
    <w:rsid w:val="009843D3"/>
    <w:rsid w:val="00990A0C"/>
    <w:rsid w:val="009C748C"/>
    <w:rsid w:val="009D14BE"/>
    <w:rsid w:val="009F42C2"/>
    <w:rsid w:val="009F5C48"/>
    <w:rsid w:val="00A22A29"/>
    <w:rsid w:val="00A61792"/>
    <w:rsid w:val="00A72931"/>
    <w:rsid w:val="00A7724C"/>
    <w:rsid w:val="00AB19C5"/>
    <w:rsid w:val="00AC5C3F"/>
    <w:rsid w:val="00AD4BB9"/>
    <w:rsid w:val="00B06C95"/>
    <w:rsid w:val="00B212F1"/>
    <w:rsid w:val="00B278C2"/>
    <w:rsid w:val="00B365F1"/>
    <w:rsid w:val="00B47B6C"/>
    <w:rsid w:val="00B75039"/>
    <w:rsid w:val="00B96D55"/>
    <w:rsid w:val="00BB6107"/>
    <w:rsid w:val="00BD1D8D"/>
    <w:rsid w:val="00BF589D"/>
    <w:rsid w:val="00C0471C"/>
    <w:rsid w:val="00C0748F"/>
    <w:rsid w:val="00C140AC"/>
    <w:rsid w:val="00C24BE9"/>
    <w:rsid w:val="00C46CB9"/>
    <w:rsid w:val="00C73740"/>
    <w:rsid w:val="00C95AD0"/>
    <w:rsid w:val="00D333DA"/>
    <w:rsid w:val="00D34160"/>
    <w:rsid w:val="00D53D77"/>
    <w:rsid w:val="00D6130B"/>
    <w:rsid w:val="00DA1092"/>
    <w:rsid w:val="00DE1E91"/>
    <w:rsid w:val="00E07C5E"/>
    <w:rsid w:val="00E138CE"/>
    <w:rsid w:val="00E27057"/>
    <w:rsid w:val="00E45EEB"/>
    <w:rsid w:val="00E51845"/>
    <w:rsid w:val="00E62D09"/>
    <w:rsid w:val="00E94FF9"/>
    <w:rsid w:val="00E9595E"/>
    <w:rsid w:val="00EA0CD3"/>
    <w:rsid w:val="00EA2DB1"/>
    <w:rsid w:val="00EB50D4"/>
    <w:rsid w:val="00EF2778"/>
    <w:rsid w:val="00EF6DBC"/>
    <w:rsid w:val="00F04602"/>
    <w:rsid w:val="00F12024"/>
    <w:rsid w:val="00F12CC1"/>
    <w:rsid w:val="00F13CAB"/>
    <w:rsid w:val="00F2719A"/>
    <w:rsid w:val="00F37F0C"/>
    <w:rsid w:val="00F41507"/>
    <w:rsid w:val="00F55F53"/>
    <w:rsid w:val="00F80C96"/>
    <w:rsid w:val="00F91F2B"/>
    <w:rsid w:val="00F95F7E"/>
    <w:rsid w:val="00FA797C"/>
    <w:rsid w:val="00FB1AAE"/>
    <w:rsid w:val="00FC60FD"/>
    <w:rsid w:val="00FD27B3"/>
    <w:rsid w:val="028A16BA"/>
    <w:rsid w:val="03816936"/>
    <w:rsid w:val="03DE36E5"/>
    <w:rsid w:val="05107EB1"/>
    <w:rsid w:val="0C5D2CAC"/>
    <w:rsid w:val="0D4B7A43"/>
    <w:rsid w:val="0D647FDB"/>
    <w:rsid w:val="0D6900C0"/>
    <w:rsid w:val="122F1741"/>
    <w:rsid w:val="14ED48E4"/>
    <w:rsid w:val="153D5B3D"/>
    <w:rsid w:val="15586BDA"/>
    <w:rsid w:val="16053E82"/>
    <w:rsid w:val="1ECE5E00"/>
    <w:rsid w:val="1FBA32A0"/>
    <w:rsid w:val="20982D97"/>
    <w:rsid w:val="210A005A"/>
    <w:rsid w:val="245B5374"/>
    <w:rsid w:val="24752525"/>
    <w:rsid w:val="27E57AB7"/>
    <w:rsid w:val="290A7517"/>
    <w:rsid w:val="2A7D1832"/>
    <w:rsid w:val="2B094D36"/>
    <w:rsid w:val="2CF924B1"/>
    <w:rsid w:val="3B335E6C"/>
    <w:rsid w:val="3FAF3C70"/>
    <w:rsid w:val="431E0714"/>
    <w:rsid w:val="44D95902"/>
    <w:rsid w:val="44EA0A76"/>
    <w:rsid w:val="47BB6159"/>
    <w:rsid w:val="480849B3"/>
    <w:rsid w:val="4C7A575B"/>
    <w:rsid w:val="4E1F46AE"/>
    <w:rsid w:val="5AC85F03"/>
    <w:rsid w:val="5B024270"/>
    <w:rsid w:val="5B3F7D02"/>
    <w:rsid w:val="5DAA243D"/>
    <w:rsid w:val="5DD12BC0"/>
    <w:rsid w:val="5DFD4EF7"/>
    <w:rsid w:val="62957CD6"/>
    <w:rsid w:val="62E80101"/>
    <w:rsid w:val="62EA49F7"/>
    <w:rsid w:val="660E08C7"/>
    <w:rsid w:val="68D93F64"/>
    <w:rsid w:val="6F6447C8"/>
    <w:rsid w:val="70D40FCC"/>
    <w:rsid w:val="762D481D"/>
    <w:rsid w:val="789D7C08"/>
    <w:rsid w:val="79346479"/>
    <w:rsid w:val="7AAD7D52"/>
    <w:rsid w:val="7AC676A0"/>
    <w:rsid w:val="7DD57971"/>
    <w:rsid w:val="7FD3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99"/>
    <w:pPr>
      <w:spacing w:after="120"/>
      <w:ind w:left="420" w:leftChars="200"/>
    </w:pPr>
    <w:rPr>
      <w:rFonts w:ascii="华文中宋" w:hAnsi="宋体" w:eastAsia="华文中宋"/>
      <w:color w:val="000000"/>
      <w:sz w:val="24"/>
      <w:szCs w:val="24"/>
    </w:rPr>
  </w:style>
  <w:style w:type="paragraph" w:styleId="5">
    <w:name w:val="annotation text"/>
    <w:basedOn w:val="1"/>
    <w:link w:val="20"/>
    <w:autoRedefine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styleId="6">
    <w:name w:val="Balloon Text"/>
    <w:basedOn w:val="1"/>
    <w:link w:val="21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link w:val="19"/>
    <w:autoRedefine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annotation subject"/>
    <w:basedOn w:val="5"/>
    <w:next w:val="5"/>
    <w:link w:val="23"/>
    <w:autoRedefine/>
    <w:semiHidden/>
    <w:unhideWhenUsed/>
    <w:qFormat/>
    <w:uiPriority w:val="99"/>
    <w:rPr>
      <w:rFonts w:asciiTheme="minorHAnsi" w:hAnsiTheme="minorHAnsi" w:eastAsiaTheme="minorEastAsia" w:cstheme="minorBidi"/>
      <w:b/>
      <w:bCs/>
      <w:szCs w:val="22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annotation reference"/>
    <w:autoRedefine/>
    <w:qFormat/>
    <w:uiPriority w:val="0"/>
    <w:rPr>
      <w:rFonts w:ascii="Times New Roman" w:hAnsi="Times New Roman" w:eastAsia="宋体" w:cs="Times New Roman"/>
      <w:sz w:val="21"/>
      <w:szCs w:val="21"/>
    </w:rPr>
  </w:style>
  <w:style w:type="character" w:customStyle="1" w:styleId="16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autoRedefine/>
    <w:qFormat/>
    <w:uiPriority w:val="99"/>
    <w:rPr>
      <w:sz w:val="18"/>
      <w:szCs w:val="18"/>
    </w:rPr>
  </w:style>
  <w:style w:type="character" w:customStyle="1" w:styleId="18">
    <w:name w:val="标题 1 字符"/>
    <w:basedOn w:val="13"/>
    <w:link w:val="4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普通(网站) 字符"/>
    <w:link w:val="9"/>
    <w:autoRedefine/>
    <w:qFormat/>
    <w:uiPriority w:val="0"/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批注文字 字符"/>
    <w:basedOn w:val="13"/>
    <w:link w:val="5"/>
    <w:autoRedefine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21">
    <w:name w:val="批注框文本 字符"/>
    <w:basedOn w:val="13"/>
    <w:link w:val="6"/>
    <w:autoRedefine/>
    <w:semiHidden/>
    <w:qFormat/>
    <w:uiPriority w:val="99"/>
    <w:rPr>
      <w:sz w:val="18"/>
      <w:szCs w:val="18"/>
    </w:rPr>
  </w:style>
  <w:style w:type="paragraph" w:styleId="2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23">
    <w:name w:val="批注主题 字符"/>
    <w:basedOn w:val="20"/>
    <w:link w:val="10"/>
    <w:autoRedefine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paragraph" w:styleId="24">
    <w:name w:val="No Spacing"/>
    <w:autoRedefine/>
    <w:qFormat/>
    <w:uiPriority w:val="99"/>
    <w:rPr>
      <w:rFonts w:ascii="Calibri" w:hAnsi="Calibri" w:eastAsia="宋体" w:cs="Times New Roman"/>
      <w:kern w:val="0"/>
      <w:sz w:val="22"/>
      <w:szCs w:val="22"/>
      <w:lang w:val="en-US" w:eastAsia="zh-CN" w:bidi="ar-SA"/>
    </w:rPr>
  </w:style>
  <w:style w:type="table" w:customStyle="1" w:styleId="2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6">
    <w:name w:val="p0"/>
    <w:basedOn w:val="1"/>
    <w:autoRedefine/>
    <w:qFormat/>
    <w:uiPriority w:val="0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1949</Words>
  <Characters>2042</Characters>
  <Lines>14</Lines>
  <Paragraphs>3</Paragraphs>
  <TotalTime>7</TotalTime>
  <ScaleCrop>false</ScaleCrop>
  <LinksUpToDate>false</LinksUpToDate>
  <CharactersWithSpaces>2149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2021-06-30T02:02:00Z</dcterms:created>
  <dc:creator>zy zhu</dc:creator>
  <cp:lastModifiedBy>lyl</cp:lastModifiedBy>
  <cp:lastPrinted>2024-01-05T09:51:00Z</cp:lastPrinted>
  <dcterms:modified xsi:type="dcterms:W3CDTF">2024-01-08T02:55:26Z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B0A523D7AC8B44D69E515FDF9A4AFF2D_12</vt:lpwstr>
  </property>
</Properties>
</file>