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before="101" w:after="0" w:afterLines="-2147483648" w:afterAutospacing="0" w:line="222" w:lineRule="auto"/>
        <w:ind w:left="31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1"/>
          <w:szCs w:val="31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31"/>
          <w:szCs w:val="31"/>
          <w:lang w:val="en-US" w:eastAsia="en-US" w:bidi="ar-SA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1"/>
          <w:szCs w:val="31"/>
          <w:lang w:val="en-US" w:eastAsia="zh-CN" w:bidi="ar-SA"/>
        </w:rPr>
        <w:t>1</w:t>
      </w:r>
    </w:p>
    <w:p>
      <w:pPr>
        <w:spacing w:before="112" w:line="185" w:lineRule="auto"/>
        <w:ind w:left="3658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专家简介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kinsoku w:val="0"/>
        <w:autoSpaceDE w:val="0"/>
        <w:autoSpaceDN w:val="0"/>
        <w:adjustRightInd w:val="0"/>
        <w:snapToGrid w:val="0"/>
        <w:spacing w:before="101" w:after="0" w:afterLines="-2147483648" w:afterAutospacing="0" w:line="346" w:lineRule="auto"/>
        <w:ind w:firstLine="655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  <w:t>吴宁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13"/>
          <w:kern w:val="0"/>
          <w:sz w:val="32"/>
          <w:szCs w:val="32"/>
          <w:lang w:val="en-US" w:eastAsia="zh-CN" w:bidi="ar-SA"/>
        </w:rPr>
        <w:t>：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val="en-US" w:eastAsia="en-US" w:bidi="ar-SA"/>
        </w:rPr>
        <w:t>西安交通大学教授。西安交通大学计算机基础系列在 线开放课程群优秀教学团队负责人。2门国家级线上一流课程和《微机原理与接口技术》国家级线上线下混合式一流课程负责人。以第一获奖人获陕西省教学成果一等奖1项，以主要完成人获国家级教学成果一等奖和陕西省教学成果特等奖各1项，获评宝钢优秀教师奖、王宽诚育才奖等多项教学荣誉奖。</w:t>
      </w:r>
    </w:p>
    <w:p>
      <w:pPr>
        <w:kinsoku w:val="0"/>
        <w:autoSpaceDE w:val="0"/>
        <w:autoSpaceDN w:val="0"/>
        <w:adjustRightInd w:val="0"/>
        <w:snapToGrid w:val="0"/>
        <w:spacing w:before="101" w:after="0" w:afterLines="-2147483648" w:afterAutospacing="0" w:line="346" w:lineRule="auto"/>
        <w:ind w:firstLine="655"/>
        <w:jc w:val="both"/>
        <w:textAlignment w:val="baseline"/>
        <w:rPr>
          <w:rFonts w:ascii="仿宋" w:hAnsi="仿宋" w:eastAsia="仿宋" w:cs="仿宋"/>
          <w:b w:val="0"/>
          <w:bCs w:val="0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  <w:t>胡淑琪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13"/>
          <w:kern w:val="0"/>
          <w:sz w:val="32"/>
          <w:szCs w:val="32"/>
          <w:lang w:val="en-US" w:eastAsia="zh-CN" w:bidi="ar-SA"/>
        </w:rPr>
        <w:t>：</w:t>
      </w:r>
      <w:r>
        <w:rPr>
          <w:rFonts w:ascii="仿宋" w:hAnsi="仿宋" w:eastAsia="仿宋" w:cs="仿宋"/>
          <w:b w:val="0"/>
          <w:bCs w:val="0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  <w:t>超星泛雅集团高级讲师，超星安徽地区在线开放课程运行</w:t>
      </w:r>
      <w:bookmarkStart w:id="0" w:name="_GoBack"/>
      <w:bookmarkEnd w:id="0"/>
      <w:r>
        <w:rPr>
          <w:rFonts w:ascii="仿宋" w:hAnsi="仿宋" w:eastAsia="仿宋" w:cs="仿宋"/>
          <w:b w:val="0"/>
          <w:bCs w:val="0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  <w:t>总监，组织并参与安徽省内多场信息化教学培训(安徽省教师发展联盟、安徽大学、安徽农业大学、淮北师范大学、安徽水利水电职业技术学院、安徽工商职业学院、安徽国防科技职业学院、淮南卫生学校等校进行信息化教学能力提升培训)。组织策划安徽省信息化讲座100余场，协助40余所院校开展在线课程建设运行及申报工作，并获得优异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YzJhNmYwODJiMTg3MWQ1ZmUxMzI4NmVjYWQ5MTAifQ=="/>
  </w:docVars>
  <w:rsids>
    <w:rsidRoot w:val="00000000"/>
    <w:rsid w:val="0C10573C"/>
    <w:rsid w:val="1DFB7AE2"/>
    <w:rsid w:val="2A347DCD"/>
    <w:rsid w:val="2C2B5BA0"/>
    <w:rsid w:val="7FD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2023-11-27T07:52:00Z</dcterms:created>
  <dc:creator>XY</dc:creator>
  <cp:lastModifiedBy>XY</cp:lastModifiedBy>
  <dcterms:modified xsi:type="dcterms:W3CDTF">2024-09-05T03:39:28Z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10DE1CED329B4F518D5EFE6A44EB6DBA</vt:lpwstr>
  </property>
</Properties>
</file>